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3D4A" w14:textId="77777777" w:rsidR="00C8178E" w:rsidRPr="00A15DF4" w:rsidRDefault="00C8178E" w:rsidP="00C8178E">
      <w:pPr>
        <w:tabs>
          <w:tab w:val="left" w:pos="555"/>
        </w:tabs>
        <w:spacing w:before="0" w:beforeAutospacing="0" w:after="0" w:line="240" w:lineRule="auto"/>
        <w:ind w:right="34"/>
        <w:rPr>
          <w:b/>
          <w:bCs/>
          <w:sz w:val="32"/>
          <w:szCs w:val="32"/>
        </w:rPr>
      </w:pPr>
      <w:r>
        <w:rPr>
          <w:noProof/>
        </w:rPr>
        <w:drawing>
          <wp:anchor distT="0" distB="0" distL="114300" distR="114300" simplePos="0" relativeHeight="251659264" behindDoc="0" locked="0" layoutInCell="1" allowOverlap="1" wp14:anchorId="63713011" wp14:editId="084DD7E4">
            <wp:simplePos x="0" y="0"/>
            <wp:positionH relativeFrom="margin">
              <wp:posOffset>109220</wp:posOffset>
            </wp:positionH>
            <wp:positionV relativeFrom="margin">
              <wp:posOffset>-18370</wp:posOffset>
            </wp:positionV>
            <wp:extent cx="961390" cy="1010285"/>
            <wp:effectExtent l="0" t="0" r="0" b="0"/>
            <wp:wrapSquare wrapText="bothSides"/>
            <wp:docPr id="66176649" name="Picture 1" descr="A blue circle with a dn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02012" descr="A blue circle with a dna symb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 cy="101028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bCs/>
          <w:color w:val="2E74B5"/>
          <w:sz w:val="52"/>
          <w:szCs w:val="52"/>
        </w:rPr>
        <w:t>Journal of Population Therapeutics &amp; Clinical Pharmacology</w:t>
      </w:r>
    </w:p>
    <w:p w14:paraId="43EE3BAA" w14:textId="77777777" w:rsidR="00C8178E" w:rsidRPr="00E363DA" w:rsidRDefault="00C8178E" w:rsidP="00C8178E">
      <w:pPr>
        <w:pStyle w:val="Header"/>
        <w:tabs>
          <w:tab w:val="left" w:pos="284"/>
          <w:tab w:val="right" w:pos="8789"/>
        </w:tabs>
        <w:ind w:right="33"/>
      </w:pPr>
    </w:p>
    <w:p w14:paraId="2573C54C" w14:textId="77777777" w:rsidR="00C8178E" w:rsidRPr="0067494C" w:rsidRDefault="00C8178E" w:rsidP="00C8178E">
      <w:pPr>
        <w:tabs>
          <w:tab w:val="left" w:pos="284"/>
          <w:tab w:val="right" w:pos="8789"/>
        </w:tabs>
        <w:spacing w:before="0" w:beforeAutospacing="0" w:after="0" w:afterAutospacing="0" w:line="240" w:lineRule="auto"/>
        <w:ind w:right="33"/>
        <w:jc w:val="right"/>
        <w:rPr>
          <w:rFonts w:ascii="Palatino Linotype" w:hAnsi="Palatino Linotype"/>
          <w:color w:val="000000" w:themeColor="text1"/>
          <w:sz w:val="22"/>
          <w:szCs w:val="18"/>
        </w:rPr>
      </w:pPr>
      <w:r w:rsidRPr="0067494C">
        <w:rPr>
          <w:rFonts w:ascii="Palatino Linotype" w:eastAsia="Arial" w:hAnsi="Palatino Linotype"/>
          <w:b/>
          <w:color w:val="000000" w:themeColor="text1"/>
          <w:sz w:val="22"/>
          <w:szCs w:val="16"/>
        </w:rPr>
        <w:t>RESEARCH ARTICLE</w:t>
      </w:r>
    </w:p>
    <w:p w14:paraId="6564B499" w14:textId="5E6AEB1C" w:rsidR="00C8178E" w:rsidRPr="0067494C" w:rsidRDefault="00C8178E" w:rsidP="00C8178E">
      <w:pPr>
        <w:spacing w:before="0" w:beforeAutospacing="0" w:after="0" w:afterAutospacing="0" w:line="240" w:lineRule="auto"/>
        <w:ind w:right="33"/>
        <w:jc w:val="right"/>
        <w:rPr>
          <w:rFonts w:ascii="Palatino Linotype" w:hAnsi="Palatino Linotype"/>
          <w:b/>
          <w:color w:val="000000" w:themeColor="text1"/>
          <w:sz w:val="22"/>
          <w:szCs w:val="18"/>
        </w:rPr>
      </w:pPr>
      <w:r w:rsidRPr="0067494C">
        <w:rPr>
          <w:rFonts w:ascii="Palatino Linotype" w:eastAsia="Arial" w:hAnsi="Palatino Linotype"/>
          <w:b/>
          <w:color w:val="000000" w:themeColor="text1"/>
          <w:sz w:val="22"/>
          <w:szCs w:val="16"/>
        </w:rPr>
        <w:tab/>
        <w:t>DOI:</w:t>
      </w:r>
      <w:r w:rsidR="0067494C" w:rsidRPr="0067494C">
        <w:rPr>
          <w:sz w:val="22"/>
          <w:szCs w:val="18"/>
        </w:rPr>
        <w:t xml:space="preserve"> </w:t>
      </w:r>
      <w:r w:rsidR="0067494C" w:rsidRPr="0067494C">
        <w:rPr>
          <w:rFonts w:ascii="Palatino Linotype" w:hAnsi="Palatino Linotype"/>
          <w:b/>
          <w:color w:val="000000" w:themeColor="text1"/>
          <w:sz w:val="22"/>
          <w:szCs w:val="18"/>
        </w:rPr>
        <w:t>10.53555/07184383</w:t>
      </w:r>
    </w:p>
    <w:p w14:paraId="301060B1" w14:textId="77777777" w:rsidR="00C8178E" w:rsidRPr="00C8178E" w:rsidRDefault="00C8178E" w:rsidP="00C8178E">
      <w:pPr>
        <w:spacing w:before="0" w:beforeAutospacing="0" w:after="0" w:afterAutospacing="0" w:line="240" w:lineRule="auto"/>
        <w:jc w:val="center"/>
        <w:rPr>
          <w:b/>
          <w:bCs/>
          <w:szCs w:val="24"/>
        </w:rPr>
      </w:pPr>
    </w:p>
    <w:p w14:paraId="17BE6DFA" w14:textId="78DC21FA" w:rsidR="002525B5" w:rsidRPr="00C8178E" w:rsidRDefault="00C8178E" w:rsidP="00C8178E">
      <w:pPr>
        <w:spacing w:before="0" w:beforeAutospacing="0" w:after="0" w:afterAutospacing="0" w:line="240" w:lineRule="auto"/>
        <w:jc w:val="center"/>
        <w:rPr>
          <w:b/>
          <w:bCs/>
          <w:sz w:val="32"/>
          <w:szCs w:val="32"/>
        </w:rPr>
      </w:pPr>
      <w:r w:rsidRPr="00C8178E">
        <w:rPr>
          <w:b/>
          <w:bCs/>
          <w:sz w:val="32"/>
          <w:szCs w:val="32"/>
        </w:rPr>
        <w:t>THE PROGNOSTIC VALUE OF THYROID FUNCTION TESTS IN ACUTE CORONARY SYNDROME: A COMPREHENSIVE STUDY IN AN INDIAN POPULATION</w:t>
      </w:r>
    </w:p>
    <w:p w14:paraId="0975FE6D" w14:textId="77777777" w:rsidR="00C8178E" w:rsidRPr="00C8178E" w:rsidRDefault="00C8178E" w:rsidP="00C8178E">
      <w:pPr>
        <w:spacing w:before="0" w:beforeAutospacing="0" w:after="0" w:afterAutospacing="0" w:line="240" w:lineRule="auto"/>
        <w:rPr>
          <w:b/>
          <w:bCs/>
          <w:szCs w:val="24"/>
        </w:rPr>
      </w:pPr>
    </w:p>
    <w:p w14:paraId="72AFAD02" w14:textId="073DF96E" w:rsidR="001E515E" w:rsidRPr="00C8178E" w:rsidRDefault="001E515E" w:rsidP="00C8178E">
      <w:pPr>
        <w:spacing w:before="0" w:beforeAutospacing="0" w:after="0" w:afterAutospacing="0" w:line="240" w:lineRule="auto"/>
        <w:jc w:val="center"/>
        <w:rPr>
          <w:b/>
          <w:bCs/>
          <w:szCs w:val="24"/>
          <w:lang w:val="sv-SE"/>
        </w:rPr>
      </w:pPr>
      <w:r w:rsidRPr="00C8178E">
        <w:rPr>
          <w:b/>
          <w:bCs/>
          <w:szCs w:val="24"/>
          <w:lang w:val="sv-SE"/>
        </w:rPr>
        <w:t>Venkata Rao Vulli</w:t>
      </w:r>
      <w:r w:rsidR="00C8178E" w:rsidRPr="00C8178E">
        <w:rPr>
          <w:b/>
          <w:bCs/>
          <w:szCs w:val="24"/>
          <w:vertAlign w:val="superscript"/>
          <w:lang w:val="sv-SE"/>
        </w:rPr>
        <w:t>1*</w:t>
      </w:r>
      <w:r w:rsidRPr="00C8178E">
        <w:rPr>
          <w:b/>
          <w:bCs/>
          <w:szCs w:val="24"/>
          <w:lang w:val="sv-SE"/>
        </w:rPr>
        <w:t>, Dr. Shreya Nigoskar</w:t>
      </w:r>
      <w:r w:rsidR="00C8178E" w:rsidRPr="00C8178E">
        <w:rPr>
          <w:b/>
          <w:bCs/>
          <w:szCs w:val="24"/>
          <w:vertAlign w:val="superscript"/>
          <w:lang w:val="sv-SE"/>
        </w:rPr>
        <w:t>2</w:t>
      </w:r>
    </w:p>
    <w:p w14:paraId="7F8B813D" w14:textId="77777777" w:rsidR="00C8178E" w:rsidRPr="0067494C" w:rsidRDefault="00C8178E" w:rsidP="00C8178E">
      <w:pPr>
        <w:spacing w:before="0" w:beforeAutospacing="0" w:after="0" w:afterAutospacing="0" w:line="240" w:lineRule="auto"/>
        <w:rPr>
          <w:b/>
          <w:bCs/>
          <w:szCs w:val="24"/>
          <w:vertAlign w:val="superscript"/>
          <w:lang w:val="sv-SE"/>
        </w:rPr>
      </w:pPr>
    </w:p>
    <w:p w14:paraId="689E9C18" w14:textId="654CD831" w:rsidR="00B44C13" w:rsidRPr="00C8178E" w:rsidRDefault="00B44C13" w:rsidP="00C8178E">
      <w:pPr>
        <w:spacing w:before="0" w:beforeAutospacing="0" w:after="0" w:afterAutospacing="0" w:line="240" w:lineRule="auto"/>
        <w:jc w:val="center"/>
        <w:rPr>
          <w:szCs w:val="24"/>
        </w:rPr>
      </w:pPr>
      <w:r w:rsidRPr="00C8178E">
        <w:rPr>
          <w:b/>
          <w:bCs/>
          <w:szCs w:val="24"/>
          <w:vertAlign w:val="superscript"/>
        </w:rPr>
        <w:t>1</w:t>
      </w:r>
      <w:r w:rsidR="00635EDE">
        <w:rPr>
          <w:b/>
          <w:bCs/>
          <w:szCs w:val="24"/>
          <w:vertAlign w:val="superscript"/>
        </w:rPr>
        <w:t>*</w:t>
      </w:r>
      <w:r w:rsidRPr="00C8178E">
        <w:rPr>
          <w:szCs w:val="24"/>
        </w:rPr>
        <w:t>Research Scholar, Department of Medical Biochemistry, Index Medical College Hospital and Research Centre, Indore</w:t>
      </w:r>
    </w:p>
    <w:p w14:paraId="2ACCAC76" w14:textId="40C26170" w:rsidR="00B44C13" w:rsidRPr="00C8178E" w:rsidRDefault="00B44C13" w:rsidP="00C8178E">
      <w:pPr>
        <w:spacing w:before="0" w:beforeAutospacing="0" w:after="0" w:afterAutospacing="0" w:line="240" w:lineRule="auto"/>
        <w:jc w:val="center"/>
        <w:rPr>
          <w:szCs w:val="24"/>
        </w:rPr>
      </w:pPr>
      <w:r w:rsidRPr="00C8178E">
        <w:rPr>
          <w:szCs w:val="24"/>
          <w:vertAlign w:val="superscript"/>
        </w:rPr>
        <w:t xml:space="preserve">2 </w:t>
      </w:r>
      <w:r w:rsidRPr="00C8178E">
        <w:rPr>
          <w:szCs w:val="24"/>
        </w:rPr>
        <w:t>Professor and head,</w:t>
      </w:r>
      <w:r w:rsidRPr="00C8178E">
        <w:rPr>
          <w:szCs w:val="24"/>
          <w:vertAlign w:val="superscript"/>
        </w:rPr>
        <w:t xml:space="preserve"> </w:t>
      </w:r>
      <w:r w:rsidRPr="00C8178E">
        <w:rPr>
          <w:szCs w:val="24"/>
        </w:rPr>
        <w:t>Department of Medical Biochemistry, Index Medical College Hospital and Research Centre, Indore</w:t>
      </w:r>
    </w:p>
    <w:p w14:paraId="6461FCB8" w14:textId="77777777" w:rsidR="00635EDE" w:rsidRDefault="00635EDE" w:rsidP="00C8178E">
      <w:pPr>
        <w:spacing w:before="0" w:beforeAutospacing="0" w:after="0" w:afterAutospacing="0" w:line="240" w:lineRule="auto"/>
        <w:jc w:val="center"/>
        <w:rPr>
          <w:szCs w:val="24"/>
        </w:rPr>
      </w:pPr>
    </w:p>
    <w:p w14:paraId="28349C94" w14:textId="05155D18" w:rsidR="00635EDE" w:rsidRPr="0067494C" w:rsidRDefault="00635EDE" w:rsidP="00C8178E">
      <w:pPr>
        <w:spacing w:before="0" w:beforeAutospacing="0" w:after="0" w:afterAutospacing="0" w:line="240" w:lineRule="auto"/>
        <w:jc w:val="center"/>
        <w:rPr>
          <w:szCs w:val="24"/>
        </w:rPr>
      </w:pPr>
      <w:r w:rsidRPr="00DE4EC4">
        <w:rPr>
          <w:b/>
          <w:bCs/>
          <w:szCs w:val="24"/>
        </w:rPr>
        <w:t xml:space="preserve">*Corresponding author: </w:t>
      </w:r>
      <w:r w:rsidRPr="0067494C">
        <w:rPr>
          <w:szCs w:val="24"/>
        </w:rPr>
        <w:t>Venkata Rao Vulli</w:t>
      </w:r>
    </w:p>
    <w:p w14:paraId="3A2CE244" w14:textId="66F10BD0" w:rsidR="00635EDE" w:rsidRPr="00C8178E" w:rsidRDefault="00635EDE" w:rsidP="00635EDE">
      <w:pPr>
        <w:pBdr>
          <w:bottom w:val="single" w:sz="4" w:space="1" w:color="auto"/>
        </w:pBdr>
        <w:spacing w:before="0" w:beforeAutospacing="0" w:after="0" w:afterAutospacing="0" w:line="240" w:lineRule="auto"/>
        <w:jc w:val="center"/>
        <w:rPr>
          <w:szCs w:val="24"/>
        </w:rPr>
      </w:pPr>
      <w:r>
        <w:rPr>
          <w:b/>
          <w:bCs/>
          <w:szCs w:val="24"/>
          <w:vertAlign w:val="superscript"/>
        </w:rPr>
        <w:t>*</w:t>
      </w:r>
      <w:r w:rsidRPr="00C8178E">
        <w:rPr>
          <w:szCs w:val="24"/>
        </w:rPr>
        <w:t>Research Scholar, Department of Medical Biochemistry, Index Medical College Hospital and Research Centre, Indore</w:t>
      </w:r>
    </w:p>
    <w:p w14:paraId="3FBE0A95" w14:textId="10FB5E1E" w:rsidR="00B44C13" w:rsidRPr="00C8178E" w:rsidRDefault="00B44C13" w:rsidP="00C8178E">
      <w:pPr>
        <w:spacing w:before="0" w:beforeAutospacing="0" w:after="0" w:afterAutospacing="0" w:line="240" w:lineRule="auto"/>
        <w:rPr>
          <w:szCs w:val="24"/>
        </w:rPr>
      </w:pPr>
    </w:p>
    <w:p w14:paraId="7F8DCB9C" w14:textId="77777777" w:rsidR="002525B5" w:rsidRPr="00C8178E" w:rsidRDefault="002525B5" w:rsidP="00C8178E">
      <w:pPr>
        <w:spacing w:before="0" w:beforeAutospacing="0" w:after="0" w:afterAutospacing="0" w:line="240" w:lineRule="auto"/>
        <w:rPr>
          <w:b/>
          <w:bCs/>
          <w:szCs w:val="24"/>
        </w:rPr>
      </w:pPr>
      <w:r w:rsidRPr="00C8178E">
        <w:rPr>
          <w:b/>
          <w:bCs/>
          <w:szCs w:val="24"/>
        </w:rPr>
        <w:t>Abstract</w:t>
      </w:r>
    </w:p>
    <w:p w14:paraId="7E10E625" w14:textId="77777777" w:rsidR="001E515E" w:rsidRDefault="002525B5" w:rsidP="00C8178E">
      <w:pPr>
        <w:spacing w:before="0" w:beforeAutospacing="0" w:after="0" w:afterAutospacing="0" w:line="240" w:lineRule="auto"/>
        <w:rPr>
          <w:szCs w:val="24"/>
        </w:rPr>
      </w:pPr>
      <w:r w:rsidRPr="00C8178E">
        <w:rPr>
          <w:szCs w:val="24"/>
        </w:rPr>
        <w:t xml:space="preserve">This research explores the prognostic significance of Thyroid Function Tests (TFTs) in patients diagnosed with Acute Coronary Syndrome (ACS) within an Indian demographic. Through a comprehensive evaluation of thyroid dysfunction in ACS patients, </w:t>
      </w:r>
      <w:r w:rsidR="001E515E" w:rsidRPr="00C8178E">
        <w:rPr>
          <w:szCs w:val="24"/>
        </w:rPr>
        <w:t>the study examines thyroid dysfunction in Acute Coronary Syndrome (ACS) patients in India. It found that 30% of patients had thyroid dysfunction, with 15% being hypothyroid and 10% hyperthyroid. Thyroid function tests (TFTs) positively correlated with ACS severity, while lower FT3 levels were associated with increased ACS severity. Thyroid dysfunction significantly impacted clinical outcomes, with higher TSH levels leading to longer hospital stays and higher mortality risk. Including TFTs in clinical models improved the prediction of major adverse cardiovascular events. ROC curve analysis showed that incorporating TFTs into clinical models improved the prediction of MACE, with the Area Under the Curve (AUC) increasing from 0.68 to 0.78 (p &lt; 0.01), underscoring the utility of TFTs in enhancing risk stratification for ACS patients.</w:t>
      </w:r>
    </w:p>
    <w:p w14:paraId="1DD3F5E6" w14:textId="77777777" w:rsidR="00635EDE" w:rsidRPr="00C8178E" w:rsidRDefault="00635EDE" w:rsidP="00C8178E">
      <w:pPr>
        <w:spacing w:before="0" w:beforeAutospacing="0" w:after="0" w:afterAutospacing="0" w:line="240" w:lineRule="auto"/>
        <w:rPr>
          <w:szCs w:val="24"/>
        </w:rPr>
      </w:pPr>
    </w:p>
    <w:p w14:paraId="695A0A95" w14:textId="77777777" w:rsidR="001E515E" w:rsidRDefault="001E515E" w:rsidP="00C8178E">
      <w:pPr>
        <w:spacing w:before="0" w:beforeAutospacing="0" w:after="0" w:afterAutospacing="0" w:line="240" w:lineRule="auto"/>
        <w:rPr>
          <w:szCs w:val="24"/>
        </w:rPr>
      </w:pPr>
      <w:r w:rsidRPr="00C8178E">
        <w:rPr>
          <w:b/>
          <w:bCs/>
          <w:szCs w:val="24"/>
        </w:rPr>
        <w:t>Keywords</w:t>
      </w:r>
      <w:r w:rsidRPr="00C8178E">
        <w:rPr>
          <w:szCs w:val="24"/>
        </w:rPr>
        <w:t>: Thyroid dysfunction, Acute Coronary Syndrome, Thyroid Function Tests, Risk stratification, Prognostic value.</w:t>
      </w:r>
    </w:p>
    <w:p w14:paraId="2E3AFC71" w14:textId="77777777" w:rsidR="00635EDE" w:rsidRPr="00C8178E" w:rsidRDefault="00635EDE" w:rsidP="00C8178E">
      <w:pPr>
        <w:spacing w:before="0" w:beforeAutospacing="0" w:after="0" w:afterAutospacing="0" w:line="240" w:lineRule="auto"/>
        <w:rPr>
          <w:szCs w:val="24"/>
        </w:rPr>
      </w:pPr>
    </w:p>
    <w:p w14:paraId="0A43128A" w14:textId="77777777" w:rsidR="002525B5" w:rsidRPr="00C8178E" w:rsidRDefault="002525B5" w:rsidP="00C8178E">
      <w:pPr>
        <w:spacing w:before="0" w:beforeAutospacing="0" w:after="0" w:afterAutospacing="0" w:line="240" w:lineRule="auto"/>
        <w:rPr>
          <w:b/>
          <w:bCs/>
          <w:szCs w:val="24"/>
        </w:rPr>
      </w:pPr>
      <w:r w:rsidRPr="00C8178E">
        <w:rPr>
          <w:b/>
          <w:bCs/>
          <w:szCs w:val="24"/>
        </w:rPr>
        <w:t>Introduction</w:t>
      </w:r>
    </w:p>
    <w:p w14:paraId="4A2AFF77" w14:textId="766A3A63" w:rsidR="002525B5" w:rsidRPr="00C8178E" w:rsidRDefault="002525B5" w:rsidP="00C8178E">
      <w:pPr>
        <w:spacing w:before="0" w:beforeAutospacing="0" w:after="0" w:afterAutospacing="0" w:line="240" w:lineRule="auto"/>
        <w:rPr>
          <w:szCs w:val="24"/>
        </w:rPr>
      </w:pPr>
      <w:r w:rsidRPr="00C8178E">
        <w:rPr>
          <w:b/>
          <w:bCs/>
          <w:szCs w:val="24"/>
        </w:rPr>
        <w:t>Background and Rationale:</w:t>
      </w:r>
      <w:r w:rsidRPr="00C8178E">
        <w:rPr>
          <w:szCs w:val="24"/>
        </w:rPr>
        <w:t xml:space="preserve"> Thyroid hormones play a crucial role in regulating metabolic processes and influencing cardiovascular health. The thyroid gland, by secreting thyroxine (T4) and triiodothyronine (T3), significantly affects heart rate, myocardial contractility, and systemic vascular </w:t>
      </w:r>
      <w:r w:rsidR="00D24B4F" w:rsidRPr="00C8178E">
        <w:rPr>
          <w:szCs w:val="24"/>
        </w:rPr>
        <w:t>resistance</w:t>
      </w:r>
      <w:r w:rsidR="00D24B4F" w:rsidRPr="00C8178E">
        <w:rPr>
          <w:szCs w:val="24"/>
          <w:vertAlign w:val="superscript"/>
        </w:rPr>
        <w:t xml:space="preserve"> [1]</w:t>
      </w:r>
      <w:r w:rsidR="00D24B4F" w:rsidRPr="00C8178E">
        <w:rPr>
          <w:szCs w:val="24"/>
        </w:rPr>
        <w:t xml:space="preserve">. </w:t>
      </w:r>
      <w:r w:rsidRPr="00C8178E">
        <w:rPr>
          <w:szCs w:val="24"/>
        </w:rPr>
        <w:t xml:space="preserve"> Abnormalities in thyroid function, particularly hypothyroidism and hyperthyroidism, have been linked to various cardiovascular diseases, including coronary artery disease (CAD) and heart failure. Despite the established relationship between thyroid dysfunction and cardiovascular health, the role of thyroid function in the prognosis of Acute Coronary Syndrome (ACS) has not been thoroughly explored, particularly within the Indian population</w:t>
      </w:r>
      <w:r w:rsidR="00D24B4F" w:rsidRPr="00C8178E">
        <w:rPr>
          <w:szCs w:val="24"/>
        </w:rPr>
        <w:t xml:space="preserve"> </w:t>
      </w:r>
      <w:r w:rsidR="00D24B4F" w:rsidRPr="00C8178E">
        <w:rPr>
          <w:szCs w:val="24"/>
          <w:vertAlign w:val="superscript"/>
        </w:rPr>
        <w:t>[2]</w:t>
      </w:r>
      <w:r w:rsidR="00D24B4F" w:rsidRPr="00C8178E">
        <w:rPr>
          <w:szCs w:val="24"/>
        </w:rPr>
        <w:t>.</w:t>
      </w:r>
    </w:p>
    <w:p w14:paraId="6E974F12" w14:textId="72E1D5D6" w:rsidR="002525B5" w:rsidRPr="00C8178E" w:rsidRDefault="002525B5" w:rsidP="00C8178E">
      <w:pPr>
        <w:spacing w:before="0" w:beforeAutospacing="0" w:after="0" w:afterAutospacing="0" w:line="240" w:lineRule="auto"/>
        <w:rPr>
          <w:szCs w:val="24"/>
        </w:rPr>
      </w:pPr>
      <w:r w:rsidRPr="00C8178E">
        <w:rPr>
          <w:b/>
          <w:bCs/>
          <w:szCs w:val="24"/>
        </w:rPr>
        <w:lastRenderedPageBreak/>
        <w:t>Significance of the Study:</w:t>
      </w:r>
      <w:r w:rsidRPr="00C8178E">
        <w:rPr>
          <w:szCs w:val="24"/>
        </w:rPr>
        <w:t xml:space="preserve"> ACS, encompassing conditions such as unstable angina, Non-ST-Elevation Myocardial Infarction (NSTEMI), and ST-Elevation Myocardial Infarction (STEMI), represents a significant cause of morbidity and mortality worldwide</w:t>
      </w:r>
      <w:r w:rsidR="00D24B4F" w:rsidRPr="00C8178E">
        <w:rPr>
          <w:szCs w:val="24"/>
        </w:rPr>
        <w:t xml:space="preserve"> </w:t>
      </w:r>
      <w:r w:rsidR="00D24B4F" w:rsidRPr="00C8178E">
        <w:rPr>
          <w:szCs w:val="24"/>
          <w:vertAlign w:val="superscript"/>
        </w:rPr>
        <w:t>[3]</w:t>
      </w:r>
      <w:r w:rsidR="00D24B4F" w:rsidRPr="00C8178E">
        <w:rPr>
          <w:szCs w:val="24"/>
        </w:rPr>
        <w:t xml:space="preserve">. </w:t>
      </w:r>
      <w:r w:rsidRPr="00C8178E">
        <w:rPr>
          <w:szCs w:val="24"/>
        </w:rPr>
        <w:t xml:space="preserve"> The potential for thyroid dysfunction to exacerbate the severity of ACS and influence clinical outcomes warrants an in-depth investigation. This study aims to fill the existing knowledge gap by evaluating the prognostic value of TFTs in ACS patients, with the ultimate goal of improving patient care through better risk stratification and tailored therapeutic strategies</w:t>
      </w:r>
      <w:r w:rsidR="00D24B4F" w:rsidRPr="00C8178E">
        <w:rPr>
          <w:szCs w:val="24"/>
        </w:rPr>
        <w:t xml:space="preserve"> </w:t>
      </w:r>
      <w:r w:rsidR="00D24B4F" w:rsidRPr="00C8178E">
        <w:rPr>
          <w:szCs w:val="24"/>
          <w:vertAlign w:val="superscript"/>
        </w:rPr>
        <w:t>[5]</w:t>
      </w:r>
      <w:r w:rsidR="00D24B4F" w:rsidRPr="00C8178E">
        <w:rPr>
          <w:szCs w:val="24"/>
        </w:rPr>
        <w:t>.</w:t>
      </w:r>
    </w:p>
    <w:p w14:paraId="613BF3BC" w14:textId="329E8FD8" w:rsidR="001E515E" w:rsidRPr="00C8178E" w:rsidRDefault="001E515E" w:rsidP="00C8178E">
      <w:pPr>
        <w:spacing w:before="0" w:beforeAutospacing="0" w:after="0" w:afterAutospacing="0" w:line="240" w:lineRule="auto"/>
        <w:rPr>
          <w:szCs w:val="24"/>
        </w:rPr>
      </w:pPr>
      <w:r w:rsidRPr="00C8178E">
        <w:rPr>
          <w:szCs w:val="24"/>
        </w:rPr>
        <w:t>To evaluate the prognostic significance of Thyroid Function Tests (TFTs), specifically Thyroid Stimulating Hormone (TSH), Free Thyroxine (FT4), and Free Triiodothyronine (FT3), in predicting the severity and clinical outcomes of Acute Coronary Syndrome (ACS) in an Indian population. This involves assessing the correlation between TFT results and various ACS severity markers and outcomes, including hospital stay duration, in-hospital mortality, and the incidence of major adverse cardiovascular events (MACE). To determine the utility of incorporating routine TFTs into the clinical management of ACS patients for enhanced risk stratification and personalized therapeutic interventions. This study seeks to establish whether thyroid function can be a reliable predictor of ACS outcomes, thereby potentially improving patient prognosis and care in the Indian demographic context.</w:t>
      </w:r>
    </w:p>
    <w:p w14:paraId="6006F7D8" w14:textId="77777777" w:rsidR="002525B5" w:rsidRPr="00C8178E" w:rsidRDefault="002525B5" w:rsidP="00C8178E">
      <w:pPr>
        <w:spacing w:before="0" w:beforeAutospacing="0" w:after="0" w:afterAutospacing="0" w:line="240" w:lineRule="auto"/>
        <w:rPr>
          <w:b/>
          <w:bCs/>
          <w:szCs w:val="24"/>
        </w:rPr>
      </w:pPr>
      <w:r w:rsidRPr="00C8178E">
        <w:rPr>
          <w:b/>
          <w:bCs/>
          <w:szCs w:val="24"/>
        </w:rPr>
        <w:t>Methods</w:t>
      </w:r>
    </w:p>
    <w:p w14:paraId="71B60A76" w14:textId="6D68AAB8" w:rsidR="002525B5" w:rsidRDefault="00D24B4F" w:rsidP="00C8178E">
      <w:pPr>
        <w:spacing w:before="0" w:beforeAutospacing="0" w:after="0" w:afterAutospacing="0" w:line="240" w:lineRule="auto"/>
        <w:rPr>
          <w:szCs w:val="24"/>
        </w:rPr>
      </w:pPr>
      <w:r w:rsidRPr="00C8178E">
        <w:rPr>
          <w:szCs w:val="24"/>
        </w:rPr>
        <w:t xml:space="preserve">The study was a cross-sectional observational study conducted at the Index Medical College Hospital and Research Centre in Indore, Madhya Pradesh, India, involving approximately 200 patients diagnosed with ACS. The study adhered to ethical guidelines and involved patients aged 18 and above with a clinical diagnosis of ACS. The study excluded patients with known chronic thyroid disorders, recent thyroid interventions, pregnant women, patients with acute illnesses affecting thyroid function, or those unable to provide informed consent due to altered mental status. Data was collected systematically, including demographic and clinical data, thyroid function tests, ACS severity markers, and outcome measures such as in-hospital mortality, length of hospital stay, and incidence of MACE. The study adhered to ethical guidelines and aimed to understand the impact of thyroid disorders on patients' health. </w:t>
      </w:r>
      <w:r w:rsidR="002525B5" w:rsidRPr="00C8178E">
        <w:rPr>
          <w:szCs w:val="24"/>
        </w:rPr>
        <w:t>Data were analyzed using SPSS version 25.0. Descriptive statistics summarized the demographic and clinical characteristics of the study population. Pearson and Spearman correlation coefficients were used to assess the relationship between TFTs and ACS severity markers. Multiple regression models were developed to predict clinical outcomes based on thyroid function. The significance level was set at p ≤ 0.05.</w:t>
      </w:r>
    </w:p>
    <w:p w14:paraId="3A775E3F" w14:textId="77777777" w:rsidR="00635EDE" w:rsidRPr="00C8178E" w:rsidRDefault="00635EDE" w:rsidP="00C8178E">
      <w:pPr>
        <w:spacing w:before="0" w:beforeAutospacing="0" w:after="0" w:afterAutospacing="0" w:line="240" w:lineRule="auto"/>
        <w:rPr>
          <w:szCs w:val="24"/>
        </w:rPr>
      </w:pPr>
    </w:p>
    <w:p w14:paraId="238253B0" w14:textId="77777777" w:rsidR="002525B5" w:rsidRPr="00C8178E" w:rsidRDefault="002525B5" w:rsidP="00C8178E">
      <w:pPr>
        <w:spacing w:before="0" w:beforeAutospacing="0" w:after="0" w:afterAutospacing="0" w:line="240" w:lineRule="auto"/>
        <w:rPr>
          <w:b/>
          <w:bCs/>
          <w:szCs w:val="24"/>
        </w:rPr>
      </w:pPr>
      <w:r w:rsidRPr="00C8178E">
        <w:rPr>
          <w:b/>
          <w:bCs/>
          <w:szCs w:val="24"/>
        </w:rPr>
        <w:t>Results</w:t>
      </w:r>
    </w:p>
    <w:p w14:paraId="59D15709" w14:textId="77777777" w:rsidR="002525B5" w:rsidRDefault="002525B5" w:rsidP="00C8178E">
      <w:pPr>
        <w:spacing w:before="0" w:beforeAutospacing="0" w:after="0" w:afterAutospacing="0" w:line="240" w:lineRule="auto"/>
        <w:rPr>
          <w:szCs w:val="24"/>
        </w:rPr>
      </w:pPr>
      <w:r w:rsidRPr="00C8178E">
        <w:rPr>
          <w:b/>
          <w:bCs/>
          <w:szCs w:val="24"/>
        </w:rPr>
        <w:t>Prevalence of Thyroid Dysfunction in ACS Patients:</w:t>
      </w:r>
      <w:r w:rsidRPr="00C8178E">
        <w:rPr>
          <w:szCs w:val="24"/>
        </w:rPr>
        <w:t xml:space="preserve"> Out of 200 ACS patients, 30% were found to have thyroid dysfunction, with 15% exhibiting hypothyroidism and 10% hyperthyroidism. The remaining 75% were euthyroid.</w:t>
      </w:r>
    </w:p>
    <w:p w14:paraId="699BF56A" w14:textId="77777777" w:rsidR="00635EDE" w:rsidRPr="00C8178E" w:rsidRDefault="00635EDE" w:rsidP="00C8178E">
      <w:pPr>
        <w:spacing w:before="0" w:beforeAutospacing="0" w:after="0" w:afterAutospacing="0" w:line="240" w:lineRule="auto"/>
        <w:rPr>
          <w:szCs w:val="24"/>
        </w:rPr>
      </w:pPr>
    </w:p>
    <w:p w14:paraId="4F04D4C7" w14:textId="77777777" w:rsidR="002525B5" w:rsidRPr="00C8178E" w:rsidRDefault="002525B5" w:rsidP="00C8178E">
      <w:pPr>
        <w:spacing w:before="0" w:beforeAutospacing="0" w:after="0" w:afterAutospacing="0" w:line="240" w:lineRule="auto"/>
        <w:rPr>
          <w:b/>
          <w:bCs/>
          <w:szCs w:val="24"/>
        </w:rPr>
      </w:pPr>
      <w:r w:rsidRPr="00C8178E">
        <w:rPr>
          <w:b/>
          <w:bCs/>
          <w:szCs w:val="24"/>
        </w:rPr>
        <w:t>Correlation Between TFTs and ACS Severity:</w:t>
      </w:r>
    </w:p>
    <w:p w14:paraId="68A58F00" w14:textId="778CBAB1" w:rsidR="00D24B4F" w:rsidRPr="00635EDE" w:rsidRDefault="00D24B4F" w:rsidP="00635EDE">
      <w:pPr>
        <w:pStyle w:val="Caption"/>
        <w:keepNext/>
        <w:spacing w:beforeAutospacing="0" w:after="0" w:afterAutospacing="0"/>
        <w:jc w:val="center"/>
        <w:rPr>
          <w:color w:val="000000" w:themeColor="text1"/>
          <w:sz w:val="24"/>
          <w:szCs w:val="24"/>
        </w:rPr>
      </w:pPr>
      <w:r w:rsidRPr="00635EDE">
        <w:rPr>
          <w:color w:val="000000" w:themeColor="text1"/>
          <w:sz w:val="24"/>
          <w:szCs w:val="24"/>
        </w:rPr>
        <w:t xml:space="preserve">Table </w:t>
      </w:r>
      <w:r w:rsidRPr="00635EDE">
        <w:rPr>
          <w:color w:val="000000" w:themeColor="text1"/>
          <w:sz w:val="24"/>
          <w:szCs w:val="24"/>
        </w:rPr>
        <w:fldChar w:fldCharType="begin"/>
      </w:r>
      <w:r w:rsidRPr="00635EDE">
        <w:rPr>
          <w:color w:val="000000" w:themeColor="text1"/>
          <w:sz w:val="24"/>
          <w:szCs w:val="24"/>
        </w:rPr>
        <w:instrText xml:space="preserve"> SEQ Table \* ARABIC </w:instrText>
      </w:r>
      <w:r w:rsidRPr="00635EDE">
        <w:rPr>
          <w:color w:val="000000" w:themeColor="text1"/>
          <w:sz w:val="24"/>
          <w:szCs w:val="24"/>
        </w:rPr>
        <w:fldChar w:fldCharType="separate"/>
      </w:r>
      <w:r w:rsidR="00C0113A">
        <w:rPr>
          <w:noProof/>
          <w:color w:val="000000" w:themeColor="text1"/>
          <w:sz w:val="24"/>
          <w:szCs w:val="24"/>
        </w:rPr>
        <w:t>1</w:t>
      </w:r>
      <w:r w:rsidRPr="00635EDE">
        <w:rPr>
          <w:color w:val="000000" w:themeColor="text1"/>
          <w:sz w:val="24"/>
          <w:szCs w:val="24"/>
        </w:rPr>
        <w:fldChar w:fldCharType="end"/>
      </w:r>
      <w:r w:rsidRPr="00635EDE">
        <w:rPr>
          <w:color w:val="000000" w:themeColor="text1"/>
          <w:sz w:val="24"/>
          <w:szCs w:val="24"/>
        </w:rPr>
        <w:t xml:space="preserve"> summarizing the correlation between thyroid function tests (TFTs) and acute coronary syndrome (ACS) severity</w:t>
      </w:r>
    </w:p>
    <w:tbl>
      <w:tblPr>
        <w:tblStyle w:val="TableGrid"/>
        <w:tblW w:w="0" w:type="auto"/>
        <w:jc w:val="center"/>
        <w:tblLook w:val="04A0" w:firstRow="1" w:lastRow="0" w:firstColumn="1" w:lastColumn="0" w:noHBand="0" w:noVBand="1"/>
      </w:tblPr>
      <w:tblGrid>
        <w:gridCol w:w="1370"/>
        <w:gridCol w:w="2736"/>
        <w:gridCol w:w="1743"/>
        <w:gridCol w:w="1012"/>
        <w:gridCol w:w="2185"/>
      </w:tblGrid>
      <w:tr w:rsidR="00D24B4F" w:rsidRPr="00C8178E" w14:paraId="71C96961" w14:textId="77777777" w:rsidTr="00635EDE">
        <w:trPr>
          <w:jc w:val="center"/>
        </w:trPr>
        <w:tc>
          <w:tcPr>
            <w:tcW w:w="0" w:type="auto"/>
            <w:hideMark/>
          </w:tcPr>
          <w:p w14:paraId="6F64EB97" w14:textId="77777777" w:rsidR="00D24B4F" w:rsidRPr="00C8178E" w:rsidRDefault="00D24B4F" w:rsidP="00C8178E">
            <w:pPr>
              <w:spacing w:before="0" w:beforeAutospacing="0" w:after="0" w:afterAutospacing="0" w:line="240" w:lineRule="auto"/>
              <w:rPr>
                <w:b/>
                <w:bCs/>
                <w:szCs w:val="24"/>
              </w:rPr>
            </w:pPr>
            <w:r w:rsidRPr="00C8178E">
              <w:rPr>
                <w:b/>
                <w:bCs/>
                <w:szCs w:val="24"/>
              </w:rPr>
              <w:t>TFTs</w:t>
            </w:r>
          </w:p>
        </w:tc>
        <w:tc>
          <w:tcPr>
            <w:tcW w:w="2736" w:type="dxa"/>
            <w:hideMark/>
          </w:tcPr>
          <w:p w14:paraId="0DAEE10A" w14:textId="77777777" w:rsidR="00D24B4F" w:rsidRPr="00C8178E" w:rsidRDefault="00D24B4F" w:rsidP="00C8178E">
            <w:pPr>
              <w:spacing w:before="0" w:beforeAutospacing="0" w:after="0" w:afterAutospacing="0" w:line="240" w:lineRule="auto"/>
              <w:rPr>
                <w:b/>
                <w:bCs/>
                <w:szCs w:val="24"/>
              </w:rPr>
            </w:pPr>
            <w:r w:rsidRPr="00C8178E">
              <w:rPr>
                <w:b/>
                <w:bCs/>
                <w:szCs w:val="24"/>
              </w:rPr>
              <w:t>Correlation with ACS Severity Markers</w:t>
            </w:r>
          </w:p>
        </w:tc>
        <w:tc>
          <w:tcPr>
            <w:tcW w:w="1743" w:type="dxa"/>
            <w:hideMark/>
          </w:tcPr>
          <w:p w14:paraId="08FC06BE" w14:textId="77777777" w:rsidR="00D24B4F" w:rsidRPr="00C8178E" w:rsidRDefault="00D24B4F" w:rsidP="00C8178E">
            <w:pPr>
              <w:spacing w:before="0" w:beforeAutospacing="0" w:after="0" w:afterAutospacing="0" w:line="240" w:lineRule="auto"/>
              <w:rPr>
                <w:b/>
                <w:bCs/>
                <w:szCs w:val="24"/>
              </w:rPr>
            </w:pPr>
            <w:r w:rsidRPr="00C8178E">
              <w:rPr>
                <w:b/>
                <w:bCs/>
                <w:szCs w:val="24"/>
              </w:rPr>
              <w:t>Correlation Coefficient (r)</w:t>
            </w:r>
          </w:p>
        </w:tc>
        <w:tc>
          <w:tcPr>
            <w:tcW w:w="0" w:type="auto"/>
            <w:hideMark/>
          </w:tcPr>
          <w:p w14:paraId="479B4CCA" w14:textId="77777777" w:rsidR="00D24B4F" w:rsidRPr="00C8178E" w:rsidRDefault="00D24B4F" w:rsidP="00C8178E">
            <w:pPr>
              <w:spacing w:before="0" w:beforeAutospacing="0" w:after="0" w:afterAutospacing="0" w:line="240" w:lineRule="auto"/>
              <w:rPr>
                <w:b/>
                <w:bCs/>
                <w:szCs w:val="24"/>
              </w:rPr>
            </w:pPr>
            <w:r w:rsidRPr="00C8178E">
              <w:rPr>
                <w:b/>
                <w:bCs/>
                <w:szCs w:val="24"/>
              </w:rPr>
              <w:t>p-value</w:t>
            </w:r>
          </w:p>
        </w:tc>
        <w:tc>
          <w:tcPr>
            <w:tcW w:w="2185" w:type="dxa"/>
            <w:hideMark/>
          </w:tcPr>
          <w:p w14:paraId="2BDDA9D7" w14:textId="77777777" w:rsidR="00D24B4F" w:rsidRPr="00C8178E" w:rsidRDefault="00D24B4F" w:rsidP="00C8178E">
            <w:pPr>
              <w:spacing w:before="0" w:beforeAutospacing="0" w:after="0" w:afterAutospacing="0" w:line="240" w:lineRule="auto"/>
              <w:rPr>
                <w:b/>
                <w:bCs/>
                <w:szCs w:val="24"/>
              </w:rPr>
            </w:pPr>
            <w:r w:rsidRPr="00C8178E">
              <w:rPr>
                <w:b/>
                <w:bCs/>
                <w:szCs w:val="24"/>
              </w:rPr>
              <w:t>Interpretation</w:t>
            </w:r>
          </w:p>
        </w:tc>
      </w:tr>
      <w:tr w:rsidR="00D24B4F" w:rsidRPr="00C8178E" w14:paraId="1DD34CC2" w14:textId="77777777" w:rsidTr="00635EDE">
        <w:trPr>
          <w:jc w:val="center"/>
        </w:trPr>
        <w:tc>
          <w:tcPr>
            <w:tcW w:w="0" w:type="auto"/>
            <w:hideMark/>
          </w:tcPr>
          <w:p w14:paraId="56DCAAFE" w14:textId="77777777" w:rsidR="00D24B4F" w:rsidRPr="00C8178E" w:rsidRDefault="00D24B4F" w:rsidP="00C8178E">
            <w:pPr>
              <w:spacing w:before="0" w:beforeAutospacing="0" w:after="0" w:afterAutospacing="0" w:line="240" w:lineRule="auto"/>
              <w:rPr>
                <w:szCs w:val="24"/>
              </w:rPr>
            </w:pPr>
            <w:r w:rsidRPr="00C8178E">
              <w:rPr>
                <w:szCs w:val="24"/>
              </w:rPr>
              <w:t>TSH Levels</w:t>
            </w:r>
          </w:p>
        </w:tc>
        <w:tc>
          <w:tcPr>
            <w:tcW w:w="2736" w:type="dxa"/>
            <w:hideMark/>
          </w:tcPr>
          <w:p w14:paraId="6A98BCBF" w14:textId="77777777" w:rsidR="00D24B4F" w:rsidRPr="00C8178E" w:rsidRDefault="00D24B4F" w:rsidP="00C8178E">
            <w:pPr>
              <w:spacing w:before="0" w:beforeAutospacing="0" w:after="0" w:afterAutospacing="0" w:line="240" w:lineRule="auto"/>
              <w:rPr>
                <w:szCs w:val="24"/>
              </w:rPr>
            </w:pPr>
            <w:r w:rsidRPr="00C8178E">
              <w:rPr>
                <w:szCs w:val="24"/>
              </w:rPr>
              <w:t>Troponin I</w:t>
            </w:r>
          </w:p>
        </w:tc>
        <w:tc>
          <w:tcPr>
            <w:tcW w:w="1743" w:type="dxa"/>
            <w:hideMark/>
          </w:tcPr>
          <w:p w14:paraId="008DC980" w14:textId="77777777" w:rsidR="00D24B4F" w:rsidRPr="00C8178E" w:rsidRDefault="00D24B4F" w:rsidP="00C8178E">
            <w:pPr>
              <w:spacing w:before="0" w:beforeAutospacing="0" w:after="0" w:afterAutospacing="0" w:line="240" w:lineRule="auto"/>
              <w:rPr>
                <w:szCs w:val="24"/>
              </w:rPr>
            </w:pPr>
            <w:r w:rsidRPr="00C8178E">
              <w:rPr>
                <w:szCs w:val="24"/>
              </w:rPr>
              <w:t>0.42</w:t>
            </w:r>
          </w:p>
        </w:tc>
        <w:tc>
          <w:tcPr>
            <w:tcW w:w="0" w:type="auto"/>
            <w:hideMark/>
          </w:tcPr>
          <w:p w14:paraId="5A77EC5F" w14:textId="77777777" w:rsidR="00D24B4F" w:rsidRPr="00C8178E" w:rsidRDefault="00D24B4F" w:rsidP="00C8178E">
            <w:pPr>
              <w:spacing w:before="0" w:beforeAutospacing="0" w:after="0" w:afterAutospacing="0" w:line="240" w:lineRule="auto"/>
              <w:rPr>
                <w:szCs w:val="24"/>
              </w:rPr>
            </w:pPr>
            <w:r w:rsidRPr="00C8178E">
              <w:rPr>
                <w:szCs w:val="24"/>
              </w:rPr>
              <w:t>p &lt; 0.01</w:t>
            </w:r>
          </w:p>
        </w:tc>
        <w:tc>
          <w:tcPr>
            <w:tcW w:w="2185" w:type="dxa"/>
            <w:hideMark/>
          </w:tcPr>
          <w:p w14:paraId="45B3CD2F" w14:textId="77777777" w:rsidR="00D24B4F" w:rsidRPr="00C8178E" w:rsidRDefault="00D24B4F" w:rsidP="00C8178E">
            <w:pPr>
              <w:spacing w:before="0" w:beforeAutospacing="0" w:after="0" w:afterAutospacing="0" w:line="240" w:lineRule="auto"/>
              <w:rPr>
                <w:szCs w:val="24"/>
              </w:rPr>
            </w:pPr>
            <w:r w:rsidRPr="00C8178E">
              <w:rPr>
                <w:szCs w:val="24"/>
              </w:rPr>
              <w:t>Significant positive correlation</w:t>
            </w:r>
          </w:p>
        </w:tc>
      </w:tr>
      <w:tr w:rsidR="00D24B4F" w:rsidRPr="00C8178E" w14:paraId="7ACD3077" w14:textId="77777777" w:rsidTr="00635EDE">
        <w:trPr>
          <w:jc w:val="center"/>
        </w:trPr>
        <w:tc>
          <w:tcPr>
            <w:tcW w:w="0" w:type="auto"/>
            <w:hideMark/>
          </w:tcPr>
          <w:p w14:paraId="4E34694B" w14:textId="77777777" w:rsidR="00D24B4F" w:rsidRPr="00C8178E" w:rsidRDefault="00D24B4F" w:rsidP="00C8178E">
            <w:pPr>
              <w:spacing w:before="0" w:beforeAutospacing="0" w:after="0" w:afterAutospacing="0" w:line="240" w:lineRule="auto"/>
              <w:rPr>
                <w:szCs w:val="24"/>
              </w:rPr>
            </w:pPr>
            <w:r w:rsidRPr="00C8178E">
              <w:rPr>
                <w:szCs w:val="24"/>
              </w:rPr>
              <w:t>FT3 Levels</w:t>
            </w:r>
          </w:p>
        </w:tc>
        <w:tc>
          <w:tcPr>
            <w:tcW w:w="2736" w:type="dxa"/>
            <w:hideMark/>
          </w:tcPr>
          <w:p w14:paraId="4BB852A3" w14:textId="77777777" w:rsidR="00D24B4F" w:rsidRPr="00C8178E" w:rsidRDefault="00D24B4F" w:rsidP="00C8178E">
            <w:pPr>
              <w:spacing w:before="0" w:beforeAutospacing="0" w:after="0" w:afterAutospacing="0" w:line="240" w:lineRule="auto"/>
              <w:rPr>
                <w:szCs w:val="24"/>
              </w:rPr>
            </w:pPr>
            <w:r w:rsidRPr="00C8178E">
              <w:rPr>
                <w:szCs w:val="24"/>
              </w:rPr>
              <w:t>CK-MB</w:t>
            </w:r>
          </w:p>
        </w:tc>
        <w:tc>
          <w:tcPr>
            <w:tcW w:w="1743" w:type="dxa"/>
            <w:hideMark/>
          </w:tcPr>
          <w:p w14:paraId="794722BC" w14:textId="77777777" w:rsidR="00D24B4F" w:rsidRPr="00C8178E" w:rsidRDefault="00D24B4F" w:rsidP="00C8178E">
            <w:pPr>
              <w:spacing w:before="0" w:beforeAutospacing="0" w:after="0" w:afterAutospacing="0" w:line="240" w:lineRule="auto"/>
              <w:rPr>
                <w:szCs w:val="24"/>
              </w:rPr>
            </w:pPr>
            <w:r w:rsidRPr="00C8178E">
              <w:rPr>
                <w:szCs w:val="24"/>
              </w:rPr>
              <w:t>-0.35</w:t>
            </w:r>
          </w:p>
        </w:tc>
        <w:tc>
          <w:tcPr>
            <w:tcW w:w="0" w:type="auto"/>
            <w:hideMark/>
          </w:tcPr>
          <w:p w14:paraId="390C793D" w14:textId="77777777" w:rsidR="00D24B4F" w:rsidRPr="00C8178E" w:rsidRDefault="00D24B4F" w:rsidP="00C8178E">
            <w:pPr>
              <w:spacing w:before="0" w:beforeAutospacing="0" w:after="0" w:afterAutospacing="0" w:line="240" w:lineRule="auto"/>
              <w:rPr>
                <w:szCs w:val="24"/>
              </w:rPr>
            </w:pPr>
            <w:r w:rsidRPr="00C8178E">
              <w:rPr>
                <w:szCs w:val="24"/>
              </w:rPr>
              <w:t>p &lt; 0.05</w:t>
            </w:r>
          </w:p>
        </w:tc>
        <w:tc>
          <w:tcPr>
            <w:tcW w:w="2185" w:type="dxa"/>
            <w:hideMark/>
          </w:tcPr>
          <w:p w14:paraId="2E93E537" w14:textId="77777777" w:rsidR="00D24B4F" w:rsidRPr="00C8178E" w:rsidRDefault="00D24B4F" w:rsidP="00C8178E">
            <w:pPr>
              <w:spacing w:before="0" w:beforeAutospacing="0" w:after="0" w:afterAutospacing="0" w:line="240" w:lineRule="auto"/>
              <w:rPr>
                <w:szCs w:val="24"/>
              </w:rPr>
            </w:pPr>
            <w:r w:rsidRPr="00C8178E">
              <w:rPr>
                <w:szCs w:val="24"/>
              </w:rPr>
              <w:t>Significant negative correlation</w:t>
            </w:r>
          </w:p>
        </w:tc>
      </w:tr>
      <w:tr w:rsidR="00D24B4F" w:rsidRPr="00C8178E" w14:paraId="676CA9EC" w14:textId="77777777" w:rsidTr="00635EDE">
        <w:trPr>
          <w:jc w:val="center"/>
        </w:trPr>
        <w:tc>
          <w:tcPr>
            <w:tcW w:w="0" w:type="auto"/>
            <w:hideMark/>
          </w:tcPr>
          <w:p w14:paraId="2CC93BFE" w14:textId="77777777" w:rsidR="00D24B4F" w:rsidRPr="00C8178E" w:rsidRDefault="00D24B4F" w:rsidP="00C8178E">
            <w:pPr>
              <w:spacing w:before="0" w:beforeAutospacing="0" w:after="0" w:afterAutospacing="0" w:line="240" w:lineRule="auto"/>
              <w:rPr>
                <w:szCs w:val="24"/>
              </w:rPr>
            </w:pPr>
            <w:r w:rsidRPr="00C8178E">
              <w:rPr>
                <w:szCs w:val="24"/>
              </w:rPr>
              <w:t>FT4 Levels</w:t>
            </w:r>
          </w:p>
        </w:tc>
        <w:tc>
          <w:tcPr>
            <w:tcW w:w="2736" w:type="dxa"/>
            <w:hideMark/>
          </w:tcPr>
          <w:p w14:paraId="3F0F555E" w14:textId="77777777" w:rsidR="00D24B4F" w:rsidRPr="00C8178E" w:rsidRDefault="00D24B4F" w:rsidP="00C8178E">
            <w:pPr>
              <w:spacing w:before="0" w:beforeAutospacing="0" w:after="0" w:afterAutospacing="0" w:line="240" w:lineRule="auto"/>
              <w:rPr>
                <w:szCs w:val="24"/>
              </w:rPr>
            </w:pPr>
            <w:r w:rsidRPr="00C8178E">
              <w:rPr>
                <w:szCs w:val="24"/>
              </w:rPr>
              <w:t>No correlation</w:t>
            </w:r>
          </w:p>
        </w:tc>
        <w:tc>
          <w:tcPr>
            <w:tcW w:w="1743" w:type="dxa"/>
            <w:hideMark/>
          </w:tcPr>
          <w:p w14:paraId="4A4AC5AC" w14:textId="77777777" w:rsidR="00D24B4F" w:rsidRPr="00C8178E" w:rsidRDefault="00D24B4F" w:rsidP="00C8178E">
            <w:pPr>
              <w:spacing w:before="0" w:beforeAutospacing="0" w:after="0" w:afterAutospacing="0" w:line="240" w:lineRule="auto"/>
              <w:rPr>
                <w:szCs w:val="24"/>
              </w:rPr>
            </w:pPr>
            <w:r w:rsidRPr="00C8178E">
              <w:rPr>
                <w:szCs w:val="24"/>
              </w:rPr>
              <w:t>-</w:t>
            </w:r>
          </w:p>
        </w:tc>
        <w:tc>
          <w:tcPr>
            <w:tcW w:w="0" w:type="auto"/>
            <w:hideMark/>
          </w:tcPr>
          <w:p w14:paraId="318E3F1D" w14:textId="77777777" w:rsidR="00D24B4F" w:rsidRPr="00C8178E" w:rsidRDefault="00D24B4F" w:rsidP="00C8178E">
            <w:pPr>
              <w:spacing w:before="0" w:beforeAutospacing="0" w:after="0" w:afterAutospacing="0" w:line="240" w:lineRule="auto"/>
              <w:rPr>
                <w:szCs w:val="24"/>
              </w:rPr>
            </w:pPr>
            <w:r w:rsidRPr="00C8178E">
              <w:rPr>
                <w:szCs w:val="24"/>
              </w:rPr>
              <w:t>-</w:t>
            </w:r>
          </w:p>
        </w:tc>
        <w:tc>
          <w:tcPr>
            <w:tcW w:w="2185" w:type="dxa"/>
            <w:hideMark/>
          </w:tcPr>
          <w:p w14:paraId="3917F707" w14:textId="77777777" w:rsidR="00D24B4F" w:rsidRPr="00C8178E" w:rsidRDefault="00D24B4F" w:rsidP="00C8178E">
            <w:pPr>
              <w:spacing w:before="0" w:beforeAutospacing="0" w:after="0" w:afterAutospacing="0" w:line="240" w:lineRule="auto"/>
              <w:rPr>
                <w:szCs w:val="24"/>
              </w:rPr>
            </w:pPr>
            <w:r w:rsidRPr="00C8178E">
              <w:rPr>
                <w:szCs w:val="24"/>
              </w:rPr>
              <w:t>No significant correlation</w:t>
            </w:r>
          </w:p>
        </w:tc>
      </w:tr>
    </w:tbl>
    <w:p w14:paraId="7ACD110B" w14:textId="77777777" w:rsidR="00635EDE" w:rsidRPr="00635EDE" w:rsidRDefault="00635EDE" w:rsidP="00635EDE">
      <w:pPr>
        <w:spacing w:before="0" w:beforeAutospacing="0" w:after="0" w:afterAutospacing="0" w:line="240" w:lineRule="auto"/>
        <w:rPr>
          <w:szCs w:val="24"/>
        </w:rPr>
      </w:pPr>
    </w:p>
    <w:p w14:paraId="0763AE56" w14:textId="31DCB308" w:rsidR="002525B5" w:rsidRPr="00C8178E" w:rsidRDefault="002525B5" w:rsidP="00635EDE">
      <w:pPr>
        <w:numPr>
          <w:ilvl w:val="0"/>
          <w:numId w:val="5"/>
        </w:numPr>
        <w:spacing w:before="0" w:beforeAutospacing="0" w:after="0" w:afterAutospacing="0" w:line="240" w:lineRule="auto"/>
        <w:ind w:left="284" w:hanging="284"/>
        <w:rPr>
          <w:szCs w:val="24"/>
        </w:rPr>
      </w:pPr>
      <w:r w:rsidRPr="00C8178E">
        <w:rPr>
          <w:b/>
          <w:bCs/>
          <w:szCs w:val="24"/>
        </w:rPr>
        <w:t>TSH Levels:</w:t>
      </w:r>
      <w:r w:rsidRPr="00C8178E">
        <w:rPr>
          <w:szCs w:val="24"/>
        </w:rPr>
        <w:t xml:space="preserve"> A significant positive correlation was observed between TSH levels and Troponin I (r = 0.42, p &lt; 0.01), indicating that higher TSH levels were associated with more severe myocardial injury.</w:t>
      </w:r>
    </w:p>
    <w:p w14:paraId="1623DD21" w14:textId="77777777" w:rsidR="002525B5" w:rsidRPr="00C8178E" w:rsidRDefault="002525B5" w:rsidP="00635EDE">
      <w:pPr>
        <w:numPr>
          <w:ilvl w:val="0"/>
          <w:numId w:val="5"/>
        </w:numPr>
        <w:spacing w:before="0" w:beforeAutospacing="0" w:after="0" w:afterAutospacing="0" w:line="240" w:lineRule="auto"/>
        <w:ind w:left="284" w:hanging="284"/>
        <w:rPr>
          <w:szCs w:val="24"/>
        </w:rPr>
      </w:pPr>
      <w:r w:rsidRPr="00C8178E">
        <w:rPr>
          <w:b/>
          <w:bCs/>
          <w:szCs w:val="24"/>
        </w:rPr>
        <w:t>FT3 Levels:</w:t>
      </w:r>
      <w:r w:rsidRPr="00C8178E">
        <w:rPr>
          <w:szCs w:val="24"/>
        </w:rPr>
        <w:t xml:space="preserve"> FT3 levels were negatively correlated with CK-MB (r = -0.35, p &lt; 0.05), suggesting that lower FT3 levels were linked with more severe ACS.</w:t>
      </w:r>
    </w:p>
    <w:p w14:paraId="78E70431" w14:textId="77777777" w:rsidR="002525B5" w:rsidRPr="00C8178E" w:rsidRDefault="002525B5" w:rsidP="00635EDE">
      <w:pPr>
        <w:numPr>
          <w:ilvl w:val="0"/>
          <w:numId w:val="5"/>
        </w:numPr>
        <w:spacing w:before="0" w:beforeAutospacing="0" w:after="0" w:afterAutospacing="0" w:line="240" w:lineRule="auto"/>
        <w:ind w:left="284" w:hanging="284"/>
        <w:rPr>
          <w:szCs w:val="24"/>
        </w:rPr>
      </w:pPr>
      <w:r w:rsidRPr="00C8178E">
        <w:rPr>
          <w:b/>
          <w:bCs/>
          <w:szCs w:val="24"/>
        </w:rPr>
        <w:t>FT4 Levels:</w:t>
      </w:r>
      <w:r w:rsidRPr="00C8178E">
        <w:rPr>
          <w:szCs w:val="24"/>
        </w:rPr>
        <w:t xml:space="preserve"> No significant correlation was found between FT4 levels and ACS severity markers.</w:t>
      </w:r>
    </w:p>
    <w:p w14:paraId="23B94A88" w14:textId="77777777" w:rsidR="00635EDE" w:rsidRDefault="00635EDE" w:rsidP="00C8178E">
      <w:pPr>
        <w:spacing w:before="0" w:beforeAutospacing="0" w:after="0" w:afterAutospacing="0" w:line="240" w:lineRule="auto"/>
        <w:rPr>
          <w:b/>
          <w:bCs/>
          <w:szCs w:val="24"/>
        </w:rPr>
      </w:pPr>
    </w:p>
    <w:p w14:paraId="5198B766" w14:textId="0DF24E7A" w:rsidR="002525B5" w:rsidRPr="00C8178E" w:rsidRDefault="002525B5" w:rsidP="00C8178E">
      <w:pPr>
        <w:spacing w:before="0" w:beforeAutospacing="0" w:after="0" w:afterAutospacing="0" w:line="240" w:lineRule="auto"/>
        <w:rPr>
          <w:b/>
          <w:bCs/>
          <w:szCs w:val="24"/>
        </w:rPr>
      </w:pPr>
      <w:r w:rsidRPr="00C8178E">
        <w:rPr>
          <w:b/>
          <w:bCs/>
          <w:szCs w:val="24"/>
        </w:rPr>
        <w:t>Impact of Thyroid Dysfunction on Clinical Outcomes:</w:t>
      </w:r>
    </w:p>
    <w:p w14:paraId="42EADCB9" w14:textId="30EFCB0D" w:rsidR="00D24B4F" w:rsidRPr="00635EDE" w:rsidRDefault="00D24B4F" w:rsidP="00635EDE">
      <w:pPr>
        <w:pStyle w:val="Caption"/>
        <w:keepNext/>
        <w:spacing w:beforeAutospacing="0" w:after="0" w:afterAutospacing="0"/>
        <w:jc w:val="center"/>
        <w:rPr>
          <w:color w:val="000000" w:themeColor="text1"/>
          <w:sz w:val="24"/>
          <w:szCs w:val="24"/>
        </w:rPr>
      </w:pPr>
      <w:r w:rsidRPr="00635EDE">
        <w:rPr>
          <w:color w:val="000000" w:themeColor="text1"/>
          <w:sz w:val="24"/>
          <w:szCs w:val="24"/>
        </w:rPr>
        <w:t xml:space="preserve">Table </w:t>
      </w:r>
      <w:r w:rsidRPr="00635EDE">
        <w:rPr>
          <w:color w:val="000000" w:themeColor="text1"/>
          <w:sz w:val="24"/>
          <w:szCs w:val="24"/>
        </w:rPr>
        <w:fldChar w:fldCharType="begin"/>
      </w:r>
      <w:r w:rsidRPr="00635EDE">
        <w:rPr>
          <w:color w:val="000000" w:themeColor="text1"/>
          <w:sz w:val="24"/>
          <w:szCs w:val="24"/>
        </w:rPr>
        <w:instrText xml:space="preserve"> SEQ Table \* ARABIC </w:instrText>
      </w:r>
      <w:r w:rsidRPr="00635EDE">
        <w:rPr>
          <w:color w:val="000000" w:themeColor="text1"/>
          <w:sz w:val="24"/>
          <w:szCs w:val="24"/>
        </w:rPr>
        <w:fldChar w:fldCharType="separate"/>
      </w:r>
      <w:r w:rsidR="00C0113A">
        <w:rPr>
          <w:noProof/>
          <w:color w:val="000000" w:themeColor="text1"/>
          <w:sz w:val="24"/>
          <w:szCs w:val="24"/>
        </w:rPr>
        <w:t>2</w:t>
      </w:r>
      <w:r w:rsidRPr="00635EDE">
        <w:rPr>
          <w:color w:val="000000" w:themeColor="text1"/>
          <w:sz w:val="24"/>
          <w:szCs w:val="24"/>
        </w:rPr>
        <w:fldChar w:fldCharType="end"/>
      </w:r>
      <w:r w:rsidRPr="00635EDE">
        <w:rPr>
          <w:color w:val="000000" w:themeColor="text1"/>
          <w:sz w:val="24"/>
          <w:szCs w:val="24"/>
        </w:rPr>
        <w:t xml:space="preserve"> summarizing the impact of thyroid dysfunction on clinical outcomes</w:t>
      </w:r>
    </w:p>
    <w:tbl>
      <w:tblPr>
        <w:tblStyle w:val="TableGrid"/>
        <w:tblW w:w="0" w:type="auto"/>
        <w:jc w:val="center"/>
        <w:tblLook w:val="04A0" w:firstRow="1" w:lastRow="0" w:firstColumn="1" w:lastColumn="0" w:noHBand="0" w:noVBand="1"/>
      </w:tblPr>
      <w:tblGrid>
        <w:gridCol w:w="1838"/>
        <w:gridCol w:w="1790"/>
        <w:gridCol w:w="1390"/>
        <w:gridCol w:w="1640"/>
        <w:gridCol w:w="1012"/>
        <w:gridCol w:w="1723"/>
      </w:tblGrid>
      <w:tr w:rsidR="00635EDE" w:rsidRPr="00C8178E" w14:paraId="610663F9" w14:textId="77777777" w:rsidTr="00635EDE">
        <w:trPr>
          <w:jc w:val="center"/>
        </w:trPr>
        <w:tc>
          <w:tcPr>
            <w:tcW w:w="1838" w:type="dxa"/>
            <w:hideMark/>
          </w:tcPr>
          <w:p w14:paraId="61991309" w14:textId="77777777" w:rsidR="00D24B4F" w:rsidRPr="00C8178E" w:rsidRDefault="00D24B4F" w:rsidP="00C8178E">
            <w:pPr>
              <w:spacing w:before="0" w:beforeAutospacing="0" w:after="0" w:afterAutospacing="0" w:line="240" w:lineRule="auto"/>
              <w:rPr>
                <w:b/>
                <w:bCs/>
                <w:szCs w:val="24"/>
              </w:rPr>
            </w:pPr>
            <w:r w:rsidRPr="00C8178E">
              <w:rPr>
                <w:b/>
                <w:bCs/>
                <w:szCs w:val="24"/>
              </w:rPr>
              <w:t>Clinical Outcome</w:t>
            </w:r>
          </w:p>
        </w:tc>
        <w:tc>
          <w:tcPr>
            <w:tcW w:w="1790" w:type="dxa"/>
            <w:hideMark/>
          </w:tcPr>
          <w:p w14:paraId="487C3B9A" w14:textId="77777777" w:rsidR="00D24B4F" w:rsidRPr="00C8178E" w:rsidRDefault="00D24B4F" w:rsidP="00C8178E">
            <w:pPr>
              <w:spacing w:before="0" w:beforeAutospacing="0" w:after="0" w:afterAutospacing="0" w:line="240" w:lineRule="auto"/>
              <w:rPr>
                <w:b/>
                <w:bCs/>
                <w:szCs w:val="24"/>
              </w:rPr>
            </w:pPr>
            <w:r w:rsidRPr="00C8178E">
              <w:rPr>
                <w:b/>
                <w:bCs/>
                <w:szCs w:val="24"/>
              </w:rPr>
              <w:t>Thyroid Dysfunction Indicator</w:t>
            </w:r>
          </w:p>
        </w:tc>
        <w:tc>
          <w:tcPr>
            <w:tcW w:w="1390" w:type="dxa"/>
            <w:hideMark/>
          </w:tcPr>
          <w:p w14:paraId="61075C09" w14:textId="77777777" w:rsidR="00D24B4F" w:rsidRPr="00C8178E" w:rsidRDefault="00D24B4F" w:rsidP="00C8178E">
            <w:pPr>
              <w:spacing w:before="0" w:beforeAutospacing="0" w:after="0" w:afterAutospacing="0" w:line="240" w:lineRule="auto"/>
              <w:rPr>
                <w:b/>
                <w:bCs/>
                <w:szCs w:val="24"/>
              </w:rPr>
            </w:pPr>
            <w:r w:rsidRPr="00C8178E">
              <w:rPr>
                <w:b/>
                <w:bCs/>
                <w:szCs w:val="24"/>
              </w:rPr>
              <w:t>Effect Size (β or OR)</w:t>
            </w:r>
          </w:p>
        </w:tc>
        <w:tc>
          <w:tcPr>
            <w:tcW w:w="1640" w:type="dxa"/>
            <w:hideMark/>
          </w:tcPr>
          <w:p w14:paraId="72629DFB" w14:textId="77777777" w:rsidR="00D24B4F" w:rsidRPr="00C8178E" w:rsidRDefault="00D24B4F" w:rsidP="00C8178E">
            <w:pPr>
              <w:spacing w:before="0" w:beforeAutospacing="0" w:after="0" w:afterAutospacing="0" w:line="240" w:lineRule="auto"/>
              <w:rPr>
                <w:b/>
                <w:bCs/>
                <w:szCs w:val="24"/>
              </w:rPr>
            </w:pPr>
            <w:r w:rsidRPr="00C8178E">
              <w:rPr>
                <w:b/>
                <w:bCs/>
                <w:szCs w:val="24"/>
              </w:rPr>
              <w:t>Confidence Interval (CI)</w:t>
            </w:r>
          </w:p>
        </w:tc>
        <w:tc>
          <w:tcPr>
            <w:tcW w:w="0" w:type="auto"/>
            <w:hideMark/>
          </w:tcPr>
          <w:p w14:paraId="4C53A8C8" w14:textId="77777777" w:rsidR="00D24B4F" w:rsidRPr="00C8178E" w:rsidRDefault="00D24B4F" w:rsidP="00C8178E">
            <w:pPr>
              <w:spacing w:before="0" w:beforeAutospacing="0" w:after="0" w:afterAutospacing="0" w:line="240" w:lineRule="auto"/>
              <w:rPr>
                <w:b/>
                <w:bCs/>
                <w:szCs w:val="24"/>
              </w:rPr>
            </w:pPr>
            <w:r w:rsidRPr="00C8178E">
              <w:rPr>
                <w:b/>
                <w:bCs/>
                <w:szCs w:val="24"/>
              </w:rPr>
              <w:t>p-value</w:t>
            </w:r>
          </w:p>
        </w:tc>
        <w:tc>
          <w:tcPr>
            <w:tcW w:w="1723" w:type="dxa"/>
            <w:hideMark/>
          </w:tcPr>
          <w:p w14:paraId="407EF193" w14:textId="77777777" w:rsidR="00D24B4F" w:rsidRPr="00C8178E" w:rsidRDefault="00D24B4F" w:rsidP="00C8178E">
            <w:pPr>
              <w:spacing w:before="0" w:beforeAutospacing="0" w:after="0" w:afterAutospacing="0" w:line="240" w:lineRule="auto"/>
              <w:rPr>
                <w:b/>
                <w:bCs/>
                <w:szCs w:val="24"/>
              </w:rPr>
            </w:pPr>
            <w:r w:rsidRPr="00C8178E">
              <w:rPr>
                <w:b/>
                <w:bCs/>
                <w:szCs w:val="24"/>
              </w:rPr>
              <w:t>Interpretation</w:t>
            </w:r>
          </w:p>
        </w:tc>
      </w:tr>
      <w:tr w:rsidR="00635EDE" w:rsidRPr="00C8178E" w14:paraId="2D18D007" w14:textId="77777777" w:rsidTr="00635EDE">
        <w:trPr>
          <w:jc w:val="center"/>
        </w:trPr>
        <w:tc>
          <w:tcPr>
            <w:tcW w:w="1838" w:type="dxa"/>
            <w:hideMark/>
          </w:tcPr>
          <w:p w14:paraId="4D3643EA" w14:textId="77777777" w:rsidR="00D24B4F" w:rsidRPr="00C8178E" w:rsidRDefault="00D24B4F" w:rsidP="00C8178E">
            <w:pPr>
              <w:spacing w:before="0" w:beforeAutospacing="0" w:after="0" w:afterAutospacing="0" w:line="240" w:lineRule="auto"/>
              <w:rPr>
                <w:szCs w:val="24"/>
              </w:rPr>
            </w:pPr>
            <w:r w:rsidRPr="00C8178E">
              <w:rPr>
                <w:szCs w:val="24"/>
              </w:rPr>
              <w:t>Length of Hospital Stay</w:t>
            </w:r>
          </w:p>
        </w:tc>
        <w:tc>
          <w:tcPr>
            <w:tcW w:w="1790" w:type="dxa"/>
            <w:hideMark/>
          </w:tcPr>
          <w:p w14:paraId="35D83689" w14:textId="77777777" w:rsidR="00D24B4F" w:rsidRPr="00C8178E" w:rsidRDefault="00D24B4F" w:rsidP="00C8178E">
            <w:pPr>
              <w:spacing w:before="0" w:beforeAutospacing="0" w:after="0" w:afterAutospacing="0" w:line="240" w:lineRule="auto"/>
              <w:rPr>
                <w:szCs w:val="24"/>
              </w:rPr>
            </w:pPr>
            <w:r w:rsidRPr="00C8178E">
              <w:rPr>
                <w:szCs w:val="24"/>
              </w:rPr>
              <w:t>Higher TSH levels</w:t>
            </w:r>
          </w:p>
        </w:tc>
        <w:tc>
          <w:tcPr>
            <w:tcW w:w="1390" w:type="dxa"/>
            <w:hideMark/>
          </w:tcPr>
          <w:p w14:paraId="42B0E708" w14:textId="77777777" w:rsidR="00D24B4F" w:rsidRPr="00C8178E" w:rsidRDefault="00D24B4F" w:rsidP="00C8178E">
            <w:pPr>
              <w:spacing w:before="0" w:beforeAutospacing="0" w:after="0" w:afterAutospacing="0" w:line="240" w:lineRule="auto"/>
              <w:rPr>
                <w:szCs w:val="24"/>
              </w:rPr>
            </w:pPr>
            <w:r w:rsidRPr="00C8178E">
              <w:rPr>
                <w:szCs w:val="24"/>
              </w:rPr>
              <w:t>β = 0.35</w:t>
            </w:r>
          </w:p>
        </w:tc>
        <w:tc>
          <w:tcPr>
            <w:tcW w:w="1640" w:type="dxa"/>
            <w:hideMark/>
          </w:tcPr>
          <w:p w14:paraId="179BFFC4" w14:textId="77777777" w:rsidR="00D24B4F" w:rsidRPr="00C8178E" w:rsidRDefault="00D24B4F" w:rsidP="00C8178E">
            <w:pPr>
              <w:spacing w:before="0" w:beforeAutospacing="0" w:after="0" w:afterAutospacing="0" w:line="240" w:lineRule="auto"/>
              <w:rPr>
                <w:szCs w:val="24"/>
              </w:rPr>
            </w:pPr>
            <w:r w:rsidRPr="00C8178E">
              <w:rPr>
                <w:szCs w:val="24"/>
              </w:rPr>
              <w:t>-</w:t>
            </w:r>
          </w:p>
        </w:tc>
        <w:tc>
          <w:tcPr>
            <w:tcW w:w="0" w:type="auto"/>
            <w:hideMark/>
          </w:tcPr>
          <w:p w14:paraId="56AFBE38" w14:textId="77777777" w:rsidR="00D24B4F" w:rsidRPr="00C8178E" w:rsidRDefault="00D24B4F" w:rsidP="00C8178E">
            <w:pPr>
              <w:spacing w:before="0" w:beforeAutospacing="0" w:after="0" w:afterAutospacing="0" w:line="240" w:lineRule="auto"/>
              <w:rPr>
                <w:szCs w:val="24"/>
              </w:rPr>
            </w:pPr>
            <w:r w:rsidRPr="00C8178E">
              <w:rPr>
                <w:szCs w:val="24"/>
              </w:rPr>
              <w:t>p &lt; 0.01</w:t>
            </w:r>
          </w:p>
        </w:tc>
        <w:tc>
          <w:tcPr>
            <w:tcW w:w="1723" w:type="dxa"/>
            <w:hideMark/>
          </w:tcPr>
          <w:p w14:paraId="2F215724" w14:textId="77777777" w:rsidR="00D24B4F" w:rsidRPr="00C8178E" w:rsidRDefault="00D24B4F" w:rsidP="00C8178E">
            <w:pPr>
              <w:spacing w:before="0" w:beforeAutospacing="0" w:after="0" w:afterAutospacing="0" w:line="240" w:lineRule="auto"/>
              <w:rPr>
                <w:szCs w:val="24"/>
              </w:rPr>
            </w:pPr>
            <w:r w:rsidRPr="00C8178E">
              <w:rPr>
                <w:szCs w:val="24"/>
              </w:rPr>
              <w:t>Significantly longer hospital stays</w:t>
            </w:r>
          </w:p>
        </w:tc>
      </w:tr>
      <w:tr w:rsidR="00635EDE" w:rsidRPr="00C8178E" w14:paraId="1CA468D6" w14:textId="77777777" w:rsidTr="00635EDE">
        <w:trPr>
          <w:jc w:val="center"/>
        </w:trPr>
        <w:tc>
          <w:tcPr>
            <w:tcW w:w="1838" w:type="dxa"/>
            <w:hideMark/>
          </w:tcPr>
          <w:p w14:paraId="2BF16F1E" w14:textId="77777777" w:rsidR="00D24B4F" w:rsidRPr="00C8178E" w:rsidRDefault="00D24B4F" w:rsidP="00C8178E">
            <w:pPr>
              <w:spacing w:before="0" w:beforeAutospacing="0" w:after="0" w:afterAutospacing="0" w:line="240" w:lineRule="auto"/>
              <w:rPr>
                <w:szCs w:val="24"/>
              </w:rPr>
            </w:pPr>
          </w:p>
        </w:tc>
        <w:tc>
          <w:tcPr>
            <w:tcW w:w="1790" w:type="dxa"/>
            <w:hideMark/>
          </w:tcPr>
          <w:p w14:paraId="68408BD1" w14:textId="77777777" w:rsidR="00D24B4F" w:rsidRPr="00C8178E" w:rsidRDefault="00D24B4F" w:rsidP="00C8178E">
            <w:pPr>
              <w:spacing w:before="0" w:beforeAutospacing="0" w:after="0" w:afterAutospacing="0" w:line="240" w:lineRule="auto"/>
              <w:rPr>
                <w:szCs w:val="24"/>
              </w:rPr>
            </w:pPr>
            <w:r w:rsidRPr="00C8178E">
              <w:rPr>
                <w:szCs w:val="24"/>
              </w:rPr>
              <w:t>Lower FT3 levels</w:t>
            </w:r>
          </w:p>
        </w:tc>
        <w:tc>
          <w:tcPr>
            <w:tcW w:w="1390" w:type="dxa"/>
            <w:hideMark/>
          </w:tcPr>
          <w:p w14:paraId="0F40BA6E" w14:textId="77777777" w:rsidR="00D24B4F" w:rsidRPr="00C8178E" w:rsidRDefault="00D24B4F" w:rsidP="00C8178E">
            <w:pPr>
              <w:spacing w:before="0" w:beforeAutospacing="0" w:after="0" w:afterAutospacing="0" w:line="240" w:lineRule="auto"/>
              <w:rPr>
                <w:szCs w:val="24"/>
              </w:rPr>
            </w:pPr>
            <w:r w:rsidRPr="00C8178E">
              <w:rPr>
                <w:szCs w:val="24"/>
              </w:rPr>
              <w:t>β = -0.28</w:t>
            </w:r>
          </w:p>
        </w:tc>
        <w:tc>
          <w:tcPr>
            <w:tcW w:w="1640" w:type="dxa"/>
            <w:hideMark/>
          </w:tcPr>
          <w:p w14:paraId="413CB7D9" w14:textId="77777777" w:rsidR="00D24B4F" w:rsidRPr="00C8178E" w:rsidRDefault="00D24B4F" w:rsidP="00C8178E">
            <w:pPr>
              <w:spacing w:before="0" w:beforeAutospacing="0" w:after="0" w:afterAutospacing="0" w:line="240" w:lineRule="auto"/>
              <w:rPr>
                <w:szCs w:val="24"/>
              </w:rPr>
            </w:pPr>
            <w:r w:rsidRPr="00C8178E">
              <w:rPr>
                <w:szCs w:val="24"/>
              </w:rPr>
              <w:t>-</w:t>
            </w:r>
          </w:p>
        </w:tc>
        <w:tc>
          <w:tcPr>
            <w:tcW w:w="0" w:type="auto"/>
            <w:hideMark/>
          </w:tcPr>
          <w:p w14:paraId="5165C7EA" w14:textId="77777777" w:rsidR="00D24B4F" w:rsidRPr="00C8178E" w:rsidRDefault="00D24B4F" w:rsidP="00C8178E">
            <w:pPr>
              <w:spacing w:before="0" w:beforeAutospacing="0" w:after="0" w:afterAutospacing="0" w:line="240" w:lineRule="auto"/>
              <w:rPr>
                <w:szCs w:val="24"/>
              </w:rPr>
            </w:pPr>
            <w:r w:rsidRPr="00C8178E">
              <w:rPr>
                <w:szCs w:val="24"/>
              </w:rPr>
              <w:t>p = 0.03</w:t>
            </w:r>
          </w:p>
        </w:tc>
        <w:tc>
          <w:tcPr>
            <w:tcW w:w="1723" w:type="dxa"/>
            <w:hideMark/>
          </w:tcPr>
          <w:p w14:paraId="48B32BCE" w14:textId="77777777" w:rsidR="00D24B4F" w:rsidRPr="00C8178E" w:rsidRDefault="00D24B4F" w:rsidP="00C8178E">
            <w:pPr>
              <w:spacing w:before="0" w:beforeAutospacing="0" w:after="0" w:afterAutospacing="0" w:line="240" w:lineRule="auto"/>
              <w:rPr>
                <w:szCs w:val="24"/>
              </w:rPr>
            </w:pPr>
            <w:r w:rsidRPr="00C8178E">
              <w:rPr>
                <w:szCs w:val="24"/>
              </w:rPr>
              <w:t>Associated with prolonged hospitalizations</w:t>
            </w:r>
          </w:p>
        </w:tc>
      </w:tr>
      <w:tr w:rsidR="00635EDE" w:rsidRPr="00C8178E" w14:paraId="1AFF70FE" w14:textId="77777777" w:rsidTr="00635EDE">
        <w:trPr>
          <w:jc w:val="center"/>
        </w:trPr>
        <w:tc>
          <w:tcPr>
            <w:tcW w:w="1838" w:type="dxa"/>
            <w:hideMark/>
          </w:tcPr>
          <w:p w14:paraId="6A569BE7" w14:textId="77777777" w:rsidR="00D24B4F" w:rsidRPr="00C8178E" w:rsidRDefault="00D24B4F" w:rsidP="00C8178E">
            <w:pPr>
              <w:spacing w:before="0" w:beforeAutospacing="0" w:after="0" w:afterAutospacing="0" w:line="240" w:lineRule="auto"/>
              <w:rPr>
                <w:szCs w:val="24"/>
              </w:rPr>
            </w:pPr>
            <w:r w:rsidRPr="00C8178E">
              <w:rPr>
                <w:szCs w:val="24"/>
              </w:rPr>
              <w:t>In-Hospital Mortality</w:t>
            </w:r>
          </w:p>
        </w:tc>
        <w:tc>
          <w:tcPr>
            <w:tcW w:w="1790" w:type="dxa"/>
            <w:hideMark/>
          </w:tcPr>
          <w:p w14:paraId="17A7D5AC" w14:textId="77777777" w:rsidR="00D24B4F" w:rsidRPr="00C8178E" w:rsidRDefault="00D24B4F" w:rsidP="00C8178E">
            <w:pPr>
              <w:spacing w:before="0" w:beforeAutospacing="0" w:after="0" w:afterAutospacing="0" w:line="240" w:lineRule="auto"/>
              <w:rPr>
                <w:szCs w:val="24"/>
              </w:rPr>
            </w:pPr>
            <w:r w:rsidRPr="00C8178E">
              <w:rPr>
                <w:szCs w:val="24"/>
              </w:rPr>
              <w:t>Elevated TSH levels</w:t>
            </w:r>
          </w:p>
        </w:tc>
        <w:tc>
          <w:tcPr>
            <w:tcW w:w="1390" w:type="dxa"/>
            <w:hideMark/>
          </w:tcPr>
          <w:p w14:paraId="1CBCD86A" w14:textId="77777777" w:rsidR="00D24B4F" w:rsidRPr="00C8178E" w:rsidRDefault="00D24B4F" w:rsidP="00C8178E">
            <w:pPr>
              <w:spacing w:before="0" w:beforeAutospacing="0" w:after="0" w:afterAutospacing="0" w:line="240" w:lineRule="auto"/>
              <w:rPr>
                <w:szCs w:val="24"/>
              </w:rPr>
            </w:pPr>
            <w:r w:rsidRPr="00C8178E">
              <w:rPr>
                <w:szCs w:val="24"/>
              </w:rPr>
              <w:t>OR = 1.45</w:t>
            </w:r>
          </w:p>
        </w:tc>
        <w:tc>
          <w:tcPr>
            <w:tcW w:w="1640" w:type="dxa"/>
            <w:hideMark/>
          </w:tcPr>
          <w:p w14:paraId="13C72570" w14:textId="77777777" w:rsidR="00D24B4F" w:rsidRPr="00C8178E" w:rsidRDefault="00D24B4F" w:rsidP="00C8178E">
            <w:pPr>
              <w:spacing w:before="0" w:beforeAutospacing="0" w:after="0" w:afterAutospacing="0" w:line="240" w:lineRule="auto"/>
              <w:rPr>
                <w:szCs w:val="24"/>
              </w:rPr>
            </w:pPr>
            <w:r w:rsidRPr="00C8178E">
              <w:rPr>
                <w:szCs w:val="24"/>
              </w:rPr>
              <w:t>95% CI: 1.10-1.90</w:t>
            </w:r>
          </w:p>
        </w:tc>
        <w:tc>
          <w:tcPr>
            <w:tcW w:w="0" w:type="auto"/>
            <w:hideMark/>
          </w:tcPr>
          <w:p w14:paraId="59F405BD" w14:textId="77777777" w:rsidR="00D24B4F" w:rsidRPr="00C8178E" w:rsidRDefault="00D24B4F" w:rsidP="00C8178E">
            <w:pPr>
              <w:spacing w:before="0" w:beforeAutospacing="0" w:after="0" w:afterAutospacing="0" w:line="240" w:lineRule="auto"/>
              <w:rPr>
                <w:szCs w:val="24"/>
              </w:rPr>
            </w:pPr>
            <w:r w:rsidRPr="00C8178E">
              <w:rPr>
                <w:szCs w:val="24"/>
              </w:rPr>
              <w:t>p = 0.01</w:t>
            </w:r>
          </w:p>
        </w:tc>
        <w:tc>
          <w:tcPr>
            <w:tcW w:w="1723" w:type="dxa"/>
            <w:hideMark/>
          </w:tcPr>
          <w:p w14:paraId="018D0B84" w14:textId="77777777" w:rsidR="00D24B4F" w:rsidRPr="00C8178E" w:rsidRDefault="00D24B4F" w:rsidP="00C8178E">
            <w:pPr>
              <w:spacing w:before="0" w:beforeAutospacing="0" w:after="0" w:afterAutospacing="0" w:line="240" w:lineRule="auto"/>
              <w:rPr>
                <w:szCs w:val="24"/>
              </w:rPr>
            </w:pPr>
            <w:r w:rsidRPr="00C8178E">
              <w:rPr>
                <w:szCs w:val="24"/>
              </w:rPr>
              <w:t>Significant predictor of in-hospital mortality</w:t>
            </w:r>
          </w:p>
        </w:tc>
      </w:tr>
      <w:tr w:rsidR="00635EDE" w:rsidRPr="00C8178E" w14:paraId="37979804" w14:textId="77777777" w:rsidTr="00635EDE">
        <w:trPr>
          <w:jc w:val="center"/>
        </w:trPr>
        <w:tc>
          <w:tcPr>
            <w:tcW w:w="1838" w:type="dxa"/>
            <w:hideMark/>
          </w:tcPr>
          <w:p w14:paraId="549E6FEE" w14:textId="77777777" w:rsidR="00D24B4F" w:rsidRPr="00C8178E" w:rsidRDefault="00D24B4F" w:rsidP="00C8178E">
            <w:pPr>
              <w:spacing w:before="0" w:beforeAutospacing="0" w:after="0" w:afterAutospacing="0" w:line="240" w:lineRule="auto"/>
              <w:rPr>
                <w:szCs w:val="24"/>
              </w:rPr>
            </w:pPr>
          </w:p>
        </w:tc>
        <w:tc>
          <w:tcPr>
            <w:tcW w:w="1790" w:type="dxa"/>
            <w:hideMark/>
          </w:tcPr>
          <w:p w14:paraId="5D38D084" w14:textId="77777777" w:rsidR="00D24B4F" w:rsidRPr="00C8178E" w:rsidRDefault="00D24B4F" w:rsidP="00C8178E">
            <w:pPr>
              <w:spacing w:before="0" w:beforeAutospacing="0" w:after="0" w:afterAutospacing="0" w:line="240" w:lineRule="auto"/>
              <w:rPr>
                <w:szCs w:val="24"/>
              </w:rPr>
            </w:pPr>
            <w:r w:rsidRPr="00C8178E">
              <w:rPr>
                <w:szCs w:val="24"/>
              </w:rPr>
              <w:t>Lower FT3 levels</w:t>
            </w:r>
          </w:p>
        </w:tc>
        <w:tc>
          <w:tcPr>
            <w:tcW w:w="1390" w:type="dxa"/>
            <w:hideMark/>
          </w:tcPr>
          <w:p w14:paraId="67A45262" w14:textId="77777777" w:rsidR="00D24B4F" w:rsidRPr="00C8178E" w:rsidRDefault="00D24B4F" w:rsidP="00C8178E">
            <w:pPr>
              <w:spacing w:before="0" w:beforeAutospacing="0" w:after="0" w:afterAutospacing="0" w:line="240" w:lineRule="auto"/>
              <w:rPr>
                <w:szCs w:val="24"/>
              </w:rPr>
            </w:pPr>
            <w:r w:rsidRPr="00C8178E">
              <w:rPr>
                <w:szCs w:val="24"/>
              </w:rPr>
              <w:t>OR = 0.68</w:t>
            </w:r>
          </w:p>
        </w:tc>
        <w:tc>
          <w:tcPr>
            <w:tcW w:w="1640" w:type="dxa"/>
            <w:hideMark/>
          </w:tcPr>
          <w:p w14:paraId="25F9722A" w14:textId="77777777" w:rsidR="00D24B4F" w:rsidRPr="00C8178E" w:rsidRDefault="00D24B4F" w:rsidP="00C8178E">
            <w:pPr>
              <w:spacing w:before="0" w:beforeAutospacing="0" w:after="0" w:afterAutospacing="0" w:line="240" w:lineRule="auto"/>
              <w:rPr>
                <w:szCs w:val="24"/>
              </w:rPr>
            </w:pPr>
            <w:r w:rsidRPr="00C8178E">
              <w:rPr>
                <w:szCs w:val="24"/>
              </w:rPr>
              <w:t>95% CI: 0.50-0.90</w:t>
            </w:r>
          </w:p>
        </w:tc>
        <w:tc>
          <w:tcPr>
            <w:tcW w:w="0" w:type="auto"/>
            <w:hideMark/>
          </w:tcPr>
          <w:p w14:paraId="6D9D72B2" w14:textId="77777777" w:rsidR="00D24B4F" w:rsidRPr="00C8178E" w:rsidRDefault="00D24B4F" w:rsidP="00C8178E">
            <w:pPr>
              <w:spacing w:before="0" w:beforeAutospacing="0" w:after="0" w:afterAutospacing="0" w:line="240" w:lineRule="auto"/>
              <w:rPr>
                <w:szCs w:val="24"/>
              </w:rPr>
            </w:pPr>
            <w:r w:rsidRPr="00C8178E">
              <w:rPr>
                <w:szCs w:val="24"/>
              </w:rPr>
              <w:t>p = 0.04</w:t>
            </w:r>
          </w:p>
        </w:tc>
        <w:tc>
          <w:tcPr>
            <w:tcW w:w="1723" w:type="dxa"/>
            <w:hideMark/>
          </w:tcPr>
          <w:p w14:paraId="4C4614C5" w14:textId="77777777" w:rsidR="00D24B4F" w:rsidRPr="00C8178E" w:rsidRDefault="00D24B4F" w:rsidP="00C8178E">
            <w:pPr>
              <w:spacing w:before="0" w:beforeAutospacing="0" w:after="0" w:afterAutospacing="0" w:line="240" w:lineRule="auto"/>
              <w:rPr>
                <w:szCs w:val="24"/>
              </w:rPr>
            </w:pPr>
            <w:r w:rsidRPr="00C8178E">
              <w:rPr>
                <w:szCs w:val="24"/>
              </w:rPr>
              <w:t>Linked to increased mortality risk</w:t>
            </w:r>
          </w:p>
        </w:tc>
      </w:tr>
      <w:tr w:rsidR="00635EDE" w:rsidRPr="00C8178E" w14:paraId="6DC84A62" w14:textId="77777777" w:rsidTr="00635EDE">
        <w:trPr>
          <w:jc w:val="center"/>
        </w:trPr>
        <w:tc>
          <w:tcPr>
            <w:tcW w:w="1838" w:type="dxa"/>
            <w:hideMark/>
          </w:tcPr>
          <w:p w14:paraId="4DAFB21C" w14:textId="77777777" w:rsidR="00D24B4F" w:rsidRPr="00C8178E" w:rsidRDefault="00D24B4F" w:rsidP="00C8178E">
            <w:pPr>
              <w:spacing w:before="0" w:beforeAutospacing="0" w:after="0" w:afterAutospacing="0" w:line="240" w:lineRule="auto"/>
              <w:rPr>
                <w:szCs w:val="24"/>
              </w:rPr>
            </w:pPr>
            <w:r w:rsidRPr="00C8178E">
              <w:rPr>
                <w:szCs w:val="24"/>
              </w:rPr>
              <w:t>Major Adverse Cardiovascular Events (MACE)</w:t>
            </w:r>
          </w:p>
        </w:tc>
        <w:tc>
          <w:tcPr>
            <w:tcW w:w="1790" w:type="dxa"/>
            <w:hideMark/>
          </w:tcPr>
          <w:p w14:paraId="6850C226" w14:textId="77777777" w:rsidR="00D24B4F" w:rsidRPr="00C8178E" w:rsidRDefault="00D24B4F" w:rsidP="00C8178E">
            <w:pPr>
              <w:spacing w:before="0" w:beforeAutospacing="0" w:after="0" w:afterAutospacing="0" w:line="240" w:lineRule="auto"/>
              <w:rPr>
                <w:szCs w:val="24"/>
              </w:rPr>
            </w:pPr>
            <w:r w:rsidRPr="00C8178E">
              <w:rPr>
                <w:szCs w:val="24"/>
              </w:rPr>
              <w:t>Hypothyroidism</w:t>
            </w:r>
          </w:p>
        </w:tc>
        <w:tc>
          <w:tcPr>
            <w:tcW w:w="1390" w:type="dxa"/>
            <w:hideMark/>
          </w:tcPr>
          <w:p w14:paraId="7D350DCF" w14:textId="77777777" w:rsidR="00D24B4F" w:rsidRPr="00C8178E" w:rsidRDefault="00D24B4F" w:rsidP="00C8178E">
            <w:pPr>
              <w:spacing w:before="0" w:beforeAutospacing="0" w:after="0" w:afterAutospacing="0" w:line="240" w:lineRule="auto"/>
              <w:rPr>
                <w:szCs w:val="24"/>
              </w:rPr>
            </w:pPr>
            <w:r w:rsidRPr="00C8178E">
              <w:rPr>
                <w:szCs w:val="24"/>
              </w:rPr>
              <w:t>Higher incidence in hypothyroid patients</w:t>
            </w:r>
          </w:p>
        </w:tc>
        <w:tc>
          <w:tcPr>
            <w:tcW w:w="1640" w:type="dxa"/>
            <w:hideMark/>
          </w:tcPr>
          <w:p w14:paraId="775FAE84" w14:textId="77777777" w:rsidR="00D24B4F" w:rsidRPr="00C8178E" w:rsidRDefault="00D24B4F" w:rsidP="00C8178E">
            <w:pPr>
              <w:spacing w:before="0" w:beforeAutospacing="0" w:after="0" w:afterAutospacing="0" w:line="240" w:lineRule="auto"/>
              <w:rPr>
                <w:szCs w:val="24"/>
              </w:rPr>
            </w:pPr>
            <w:r w:rsidRPr="00C8178E">
              <w:rPr>
                <w:szCs w:val="24"/>
              </w:rPr>
              <w:t>-</w:t>
            </w:r>
          </w:p>
        </w:tc>
        <w:tc>
          <w:tcPr>
            <w:tcW w:w="0" w:type="auto"/>
            <w:hideMark/>
          </w:tcPr>
          <w:p w14:paraId="2CB6E295" w14:textId="77777777" w:rsidR="00D24B4F" w:rsidRPr="00C8178E" w:rsidRDefault="00D24B4F" w:rsidP="00C8178E">
            <w:pPr>
              <w:spacing w:before="0" w:beforeAutospacing="0" w:after="0" w:afterAutospacing="0" w:line="240" w:lineRule="auto"/>
              <w:rPr>
                <w:szCs w:val="24"/>
              </w:rPr>
            </w:pPr>
            <w:r w:rsidRPr="00C8178E">
              <w:rPr>
                <w:szCs w:val="24"/>
              </w:rPr>
              <w:t>-</w:t>
            </w:r>
          </w:p>
        </w:tc>
        <w:tc>
          <w:tcPr>
            <w:tcW w:w="1723" w:type="dxa"/>
            <w:hideMark/>
          </w:tcPr>
          <w:p w14:paraId="7F1F45DE" w14:textId="77777777" w:rsidR="00D24B4F" w:rsidRPr="00C8178E" w:rsidRDefault="00D24B4F" w:rsidP="00C8178E">
            <w:pPr>
              <w:spacing w:before="0" w:beforeAutospacing="0" w:after="0" w:afterAutospacing="0" w:line="240" w:lineRule="auto"/>
              <w:rPr>
                <w:szCs w:val="24"/>
              </w:rPr>
            </w:pPr>
            <w:r w:rsidRPr="00C8178E">
              <w:rPr>
                <w:szCs w:val="24"/>
              </w:rPr>
              <w:t>Compared to euthyroid and hyperthyroid patients</w:t>
            </w:r>
          </w:p>
        </w:tc>
      </w:tr>
    </w:tbl>
    <w:p w14:paraId="6229A408" w14:textId="77777777" w:rsidR="00635EDE" w:rsidRPr="00635EDE" w:rsidRDefault="00635EDE" w:rsidP="00635EDE">
      <w:pPr>
        <w:spacing w:before="0" w:beforeAutospacing="0" w:after="0" w:afterAutospacing="0" w:line="240" w:lineRule="auto"/>
        <w:rPr>
          <w:szCs w:val="24"/>
        </w:rPr>
      </w:pPr>
    </w:p>
    <w:p w14:paraId="6AC09799" w14:textId="2C5F616F" w:rsidR="002525B5" w:rsidRPr="00C8178E" w:rsidRDefault="002525B5" w:rsidP="00635EDE">
      <w:pPr>
        <w:numPr>
          <w:ilvl w:val="0"/>
          <w:numId w:val="6"/>
        </w:numPr>
        <w:spacing w:before="0" w:beforeAutospacing="0" w:after="0" w:afterAutospacing="0" w:line="240" w:lineRule="auto"/>
        <w:ind w:left="284" w:hanging="284"/>
        <w:rPr>
          <w:szCs w:val="24"/>
        </w:rPr>
      </w:pPr>
      <w:r w:rsidRPr="00C8178E">
        <w:rPr>
          <w:b/>
          <w:bCs/>
          <w:szCs w:val="24"/>
        </w:rPr>
        <w:t>Length of Hospital Stay:</w:t>
      </w:r>
      <w:r w:rsidRPr="00C8178E">
        <w:rPr>
          <w:szCs w:val="24"/>
        </w:rPr>
        <w:t xml:space="preserve"> Patients with higher TSH levels experienced significantly longer hospital stays (β = 0.35, p &lt; 0.01). Conversely, lower FT3 levels were associated with prolonged hospitalizations (β = -0.28, p = 0.03).</w:t>
      </w:r>
    </w:p>
    <w:p w14:paraId="7984B6B9" w14:textId="1DB264ED" w:rsidR="002525B5" w:rsidRPr="00C8178E" w:rsidRDefault="002525B5" w:rsidP="00635EDE">
      <w:pPr>
        <w:numPr>
          <w:ilvl w:val="0"/>
          <w:numId w:val="6"/>
        </w:numPr>
        <w:spacing w:before="0" w:beforeAutospacing="0" w:after="0" w:afterAutospacing="0" w:line="240" w:lineRule="auto"/>
        <w:ind w:left="284" w:hanging="284"/>
        <w:rPr>
          <w:szCs w:val="24"/>
        </w:rPr>
      </w:pPr>
      <w:r w:rsidRPr="00C8178E">
        <w:rPr>
          <w:b/>
          <w:bCs/>
          <w:szCs w:val="24"/>
        </w:rPr>
        <w:t>In-Hospital Mortality:</w:t>
      </w:r>
      <w:r w:rsidRPr="00C8178E">
        <w:rPr>
          <w:szCs w:val="24"/>
        </w:rPr>
        <w:t xml:space="preserve"> Elevated TSH levels </w:t>
      </w:r>
      <w:r w:rsidR="0055038D" w:rsidRPr="00C8178E">
        <w:rPr>
          <w:szCs w:val="24"/>
        </w:rPr>
        <w:t>significantly predictor</w:t>
      </w:r>
      <w:r w:rsidRPr="00C8178E">
        <w:rPr>
          <w:szCs w:val="24"/>
        </w:rPr>
        <w:t xml:space="preserve"> in-hospital mortality (OR = 1.45, 95% CI: 1.10-1.90, p = 0.01). Lower FT3 levels were also linked to increased mortality risk (OR = 0.68, 95% CI: 0.50-0.90, p = 0.04).</w:t>
      </w:r>
    </w:p>
    <w:p w14:paraId="7362D7DB" w14:textId="77777777" w:rsidR="002525B5" w:rsidRPr="00C8178E" w:rsidRDefault="002525B5" w:rsidP="00635EDE">
      <w:pPr>
        <w:numPr>
          <w:ilvl w:val="0"/>
          <w:numId w:val="6"/>
        </w:numPr>
        <w:spacing w:before="0" w:beforeAutospacing="0" w:after="0" w:afterAutospacing="0" w:line="240" w:lineRule="auto"/>
        <w:ind w:left="284" w:hanging="284"/>
        <w:rPr>
          <w:szCs w:val="24"/>
        </w:rPr>
      </w:pPr>
      <w:r w:rsidRPr="00C8178E">
        <w:rPr>
          <w:b/>
          <w:bCs/>
          <w:szCs w:val="24"/>
        </w:rPr>
        <w:t>Major Adverse Cardiovascular Events (MACE):</w:t>
      </w:r>
      <w:r w:rsidRPr="00C8178E">
        <w:rPr>
          <w:szCs w:val="24"/>
        </w:rPr>
        <w:t xml:space="preserve"> Hypothyroid patients had a higher incidence of MACE compared to euthyroid and hyperthyroid patients.</w:t>
      </w:r>
    </w:p>
    <w:p w14:paraId="5BB30DBD" w14:textId="77777777" w:rsidR="00635EDE" w:rsidRDefault="00635EDE" w:rsidP="00635EDE">
      <w:pPr>
        <w:spacing w:before="0" w:beforeAutospacing="0" w:after="0" w:afterAutospacing="0" w:line="240" w:lineRule="auto"/>
        <w:ind w:left="284" w:hanging="284"/>
        <w:rPr>
          <w:b/>
          <w:bCs/>
          <w:szCs w:val="24"/>
        </w:rPr>
      </w:pPr>
    </w:p>
    <w:p w14:paraId="31FFE81E" w14:textId="3DFADB12" w:rsidR="002525B5" w:rsidRPr="00C8178E" w:rsidRDefault="002525B5" w:rsidP="00635EDE">
      <w:pPr>
        <w:spacing w:before="0" w:beforeAutospacing="0" w:after="0" w:afterAutospacing="0" w:line="240" w:lineRule="auto"/>
        <w:rPr>
          <w:szCs w:val="24"/>
        </w:rPr>
      </w:pPr>
      <w:r w:rsidRPr="00C8178E">
        <w:rPr>
          <w:b/>
          <w:bCs/>
          <w:szCs w:val="24"/>
        </w:rPr>
        <w:t>Utility of TFTs in ACS Management:</w:t>
      </w:r>
      <w:r w:rsidRPr="00C8178E">
        <w:rPr>
          <w:szCs w:val="24"/>
        </w:rPr>
        <w:t xml:space="preserve"> ROC curve analysis demonstrated that incorporating TFTs into clinical models improved the prediction of MACE, with the Area Under the Curve (AUC) increasing from 0.68 to 0.78 (p &lt; 0.01). This indicates that TFTs could significantly enhance risk stratification in ACS patients.</w:t>
      </w:r>
    </w:p>
    <w:p w14:paraId="1C5E20FD" w14:textId="4D519599" w:rsidR="00D24B4F" w:rsidRPr="00C8178E" w:rsidRDefault="00D24B4F" w:rsidP="00635EDE">
      <w:pPr>
        <w:spacing w:before="0" w:beforeAutospacing="0" w:after="0" w:afterAutospacing="0" w:line="240" w:lineRule="auto"/>
        <w:jc w:val="center"/>
        <w:rPr>
          <w:szCs w:val="24"/>
        </w:rPr>
      </w:pPr>
      <w:r w:rsidRPr="00C8178E">
        <w:rPr>
          <w:noProof/>
          <w:szCs w:val="24"/>
        </w:rPr>
        <w:drawing>
          <wp:inline distT="0" distB="0" distL="0" distR="0" wp14:anchorId="3176245F" wp14:editId="11B44185">
            <wp:extent cx="5731510" cy="4465955"/>
            <wp:effectExtent l="0" t="0" r="2540" b="0"/>
            <wp:docPr id="1768621410"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465955"/>
                    </a:xfrm>
                    <a:prstGeom prst="rect">
                      <a:avLst/>
                    </a:prstGeom>
                    <a:noFill/>
                    <a:ln>
                      <a:noFill/>
                    </a:ln>
                  </pic:spPr>
                </pic:pic>
              </a:graphicData>
            </a:graphic>
          </wp:inline>
        </w:drawing>
      </w:r>
    </w:p>
    <w:p w14:paraId="03AB95A0" w14:textId="77777777" w:rsidR="00635EDE" w:rsidRDefault="00635EDE" w:rsidP="00C8178E">
      <w:pPr>
        <w:spacing w:before="0" w:beforeAutospacing="0" w:after="0" w:afterAutospacing="0" w:line="240" w:lineRule="auto"/>
        <w:rPr>
          <w:szCs w:val="24"/>
        </w:rPr>
      </w:pPr>
    </w:p>
    <w:p w14:paraId="62244088" w14:textId="49CE1FED" w:rsidR="00D24B4F" w:rsidRPr="00C8178E" w:rsidRDefault="00D24B4F" w:rsidP="00C8178E">
      <w:pPr>
        <w:spacing w:before="0" w:beforeAutospacing="0" w:after="0" w:afterAutospacing="0" w:line="240" w:lineRule="auto"/>
        <w:rPr>
          <w:szCs w:val="24"/>
        </w:rPr>
      </w:pPr>
      <w:r w:rsidRPr="00C8178E">
        <w:rPr>
          <w:szCs w:val="24"/>
        </w:rPr>
        <w:t>The graph above illustrates the Receiver Operating Characteristic (ROC) curve analysis for assessing the utility of thyroid function tests (TFTs) in managing acute coronary syndrome (ACS). Including TFTs in clinical models significantly improves the prediction of major adverse cardiovascular events (MACE), as evidenced by the increase in the Area Under the Curve (AUC) from 0.68 to 0.78. This enhancement indicates that TFTs can play a crucial role in better risk stratification of ACS patients.</w:t>
      </w:r>
    </w:p>
    <w:p w14:paraId="0EED89DA" w14:textId="77777777" w:rsidR="00635EDE" w:rsidRDefault="00635EDE" w:rsidP="00C8178E">
      <w:pPr>
        <w:spacing w:before="0" w:beforeAutospacing="0" w:after="0" w:afterAutospacing="0" w:line="240" w:lineRule="auto"/>
        <w:rPr>
          <w:b/>
          <w:bCs/>
          <w:szCs w:val="24"/>
        </w:rPr>
      </w:pPr>
    </w:p>
    <w:p w14:paraId="4903A3A1" w14:textId="5066B2FE" w:rsidR="002525B5" w:rsidRPr="00C8178E" w:rsidRDefault="002525B5" w:rsidP="00C8178E">
      <w:pPr>
        <w:spacing w:before="0" w:beforeAutospacing="0" w:after="0" w:afterAutospacing="0" w:line="240" w:lineRule="auto"/>
        <w:rPr>
          <w:b/>
          <w:bCs/>
          <w:szCs w:val="24"/>
        </w:rPr>
      </w:pPr>
      <w:r w:rsidRPr="00C8178E">
        <w:rPr>
          <w:b/>
          <w:bCs/>
          <w:szCs w:val="24"/>
        </w:rPr>
        <w:t>Discussion</w:t>
      </w:r>
    </w:p>
    <w:p w14:paraId="6C2AC825" w14:textId="2BFDC365" w:rsidR="0055038D" w:rsidRPr="00C8178E" w:rsidRDefault="002525B5" w:rsidP="00C8178E">
      <w:pPr>
        <w:spacing w:before="0" w:beforeAutospacing="0" w:after="0" w:afterAutospacing="0" w:line="240" w:lineRule="auto"/>
        <w:rPr>
          <w:szCs w:val="24"/>
        </w:rPr>
      </w:pPr>
      <w:r w:rsidRPr="00C8178E">
        <w:rPr>
          <w:b/>
          <w:bCs/>
          <w:szCs w:val="24"/>
        </w:rPr>
        <w:t>Interpretation of Findings:</w:t>
      </w:r>
      <w:r w:rsidRPr="00C8178E">
        <w:rPr>
          <w:szCs w:val="24"/>
        </w:rPr>
        <w:t xml:space="preserve"> </w:t>
      </w:r>
      <w:r w:rsidR="0055038D" w:rsidRPr="00C8178E">
        <w:rPr>
          <w:szCs w:val="24"/>
        </w:rPr>
        <w:t xml:space="preserve">The prevalence of thyroid dysfunction, particularly hypothyroidism, among patients with acute coronary syndrome (ACS) is significant, with studies indicating a correlation between elevated TSH levels and adverse cardiovascular outcomes. In a prospective study, 5.2% of ACS patients exhibited overt hypothyroidism, which was linked to increased myocardial injury and longer hospital </w:t>
      </w:r>
      <w:r w:rsidR="00D24B4F" w:rsidRPr="00C8178E">
        <w:rPr>
          <w:szCs w:val="24"/>
        </w:rPr>
        <w:t>stays</w:t>
      </w:r>
      <w:r w:rsidR="00D24B4F" w:rsidRPr="00C8178E">
        <w:rPr>
          <w:szCs w:val="24"/>
          <w:vertAlign w:val="superscript"/>
        </w:rPr>
        <w:t xml:space="preserve"> [</w:t>
      </w:r>
      <w:r w:rsidR="00034874" w:rsidRPr="00C8178E">
        <w:rPr>
          <w:szCs w:val="24"/>
          <w:vertAlign w:val="superscript"/>
        </w:rPr>
        <w:t>6</w:t>
      </w:r>
      <w:r w:rsidR="0055038D" w:rsidRPr="00C8178E">
        <w:rPr>
          <w:szCs w:val="24"/>
          <w:vertAlign w:val="superscript"/>
        </w:rPr>
        <w:t>]</w:t>
      </w:r>
      <w:r w:rsidR="0055038D" w:rsidRPr="00C8178E">
        <w:rPr>
          <w:szCs w:val="24"/>
        </w:rPr>
        <w:t>. Additionally, low free T3 (fT3) levels were associated with reduced left ventricular ejection fraction and prolonged hospitalization, suggesting a detrimental impact on cardiac function</w:t>
      </w:r>
      <w:r w:rsidR="0055038D" w:rsidRPr="00C8178E">
        <w:rPr>
          <w:szCs w:val="24"/>
          <w:vertAlign w:val="superscript"/>
        </w:rPr>
        <w:t>[</w:t>
      </w:r>
      <w:r w:rsidR="00034874" w:rsidRPr="00C8178E">
        <w:rPr>
          <w:szCs w:val="24"/>
          <w:vertAlign w:val="superscript"/>
        </w:rPr>
        <w:t>8</w:t>
      </w:r>
      <w:r w:rsidR="0055038D" w:rsidRPr="00C8178E">
        <w:rPr>
          <w:szCs w:val="24"/>
          <w:vertAlign w:val="superscript"/>
        </w:rPr>
        <w:t>]</w:t>
      </w:r>
      <w:r w:rsidR="0055038D" w:rsidRPr="00C8178E">
        <w:rPr>
          <w:szCs w:val="24"/>
        </w:rPr>
        <w:t>. Another study highlighted that patients with subclinical hypothyroidism had insufficient stent endothelialization, further complicating their cardiovascular status</w:t>
      </w:r>
      <w:r w:rsidR="0055038D" w:rsidRPr="00C8178E">
        <w:rPr>
          <w:szCs w:val="24"/>
          <w:vertAlign w:val="superscript"/>
        </w:rPr>
        <w:t>[</w:t>
      </w:r>
      <w:r w:rsidR="00034874" w:rsidRPr="00C8178E">
        <w:rPr>
          <w:szCs w:val="24"/>
          <w:vertAlign w:val="superscript"/>
        </w:rPr>
        <w:t>7</w:t>
      </w:r>
      <w:r w:rsidR="0055038D" w:rsidRPr="00C8178E">
        <w:rPr>
          <w:szCs w:val="24"/>
          <w:vertAlign w:val="superscript"/>
        </w:rPr>
        <w:t>]</w:t>
      </w:r>
      <w:r w:rsidR="0055038D" w:rsidRPr="00C8178E">
        <w:rPr>
          <w:szCs w:val="24"/>
        </w:rPr>
        <w:t>. Moreover, a Mendelian randomization study indicated that higher TSH levels could increase the risk of unstable angina, reinforcing the need for careful monitoring of thyroid function in ACS patients</w:t>
      </w:r>
      <w:r w:rsidR="0055038D" w:rsidRPr="00C8178E">
        <w:rPr>
          <w:szCs w:val="24"/>
          <w:vertAlign w:val="superscript"/>
        </w:rPr>
        <w:t>[</w:t>
      </w:r>
      <w:r w:rsidR="00034874" w:rsidRPr="00C8178E">
        <w:rPr>
          <w:szCs w:val="24"/>
          <w:vertAlign w:val="superscript"/>
        </w:rPr>
        <w:t>10</w:t>
      </w:r>
      <w:r w:rsidR="0055038D" w:rsidRPr="00C8178E">
        <w:rPr>
          <w:szCs w:val="24"/>
          <w:vertAlign w:val="superscript"/>
        </w:rPr>
        <w:t>]</w:t>
      </w:r>
      <w:r w:rsidR="0055038D" w:rsidRPr="00C8178E">
        <w:rPr>
          <w:szCs w:val="24"/>
        </w:rPr>
        <w:t>. Collectively, these findings underscore the importance of screening and managing thyroid dysfunction to mitigate its exacerbating effects on cardiovascular disease</w:t>
      </w:r>
      <w:r w:rsidR="0055038D" w:rsidRPr="00C8178E">
        <w:rPr>
          <w:szCs w:val="24"/>
          <w:vertAlign w:val="superscript"/>
        </w:rPr>
        <w:t>[</w:t>
      </w:r>
      <w:r w:rsidR="00034874" w:rsidRPr="00C8178E">
        <w:rPr>
          <w:szCs w:val="24"/>
          <w:vertAlign w:val="superscript"/>
        </w:rPr>
        <w:t>9</w:t>
      </w:r>
      <w:r w:rsidR="0055038D" w:rsidRPr="00C8178E">
        <w:rPr>
          <w:szCs w:val="24"/>
          <w:vertAlign w:val="superscript"/>
        </w:rPr>
        <w:t>]</w:t>
      </w:r>
      <w:r w:rsidR="0055038D" w:rsidRPr="00C8178E">
        <w:rPr>
          <w:szCs w:val="24"/>
        </w:rPr>
        <w:t>.</w:t>
      </w:r>
    </w:p>
    <w:p w14:paraId="24EEA3D3" w14:textId="77777777" w:rsidR="00635EDE" w:rsidRDefault="00635EDE" w:rsidP="00C8178E">
      <w:pPr>
        <w:spacing w:before="0" w:beforeAutospacing="0" w:after="0" w:afterAutospacing="0" w:line="240" w:lineRule="auto"/>
        <w:rPr>
          <w:b/>
          <w:bCs/>
          <w:szCs w:val="24"/>
        </w:rPr>
      </w:pPr>
    </w:p>
    <w:p w14:paraId="096350B0" w14:textId="6897DC63" w:rsidR="00CD6248" w:rsidRDefault="002525B5" w:rsidP="00C8178E">
      <w:pPr>
        <w:spacing w:before="0" w:beforeAutospacing="0" w:after="0" w:afterAutospacing="0" w:line="240" w:lineRule="auto"/>
        <w:rPr>
          <w:szCs w:val="24"/>
        </w:rPr>
      </w:pPr>
      <w:r w:rsidRPr="00C8178E">
        <w:rPr>
          <w:b/>
          <w:bCs/>
          <w:szCs w:val="24"/>
        </w:rPr>
        <w:t>Clinical Implications:</w:t>
      </w:r>
      <w:r w:rsidRPr="00C8178E">
        <w:rPr>
          <w:szCs w:val="24"/>
        </w:rPr>
        <w:t xml:space="preserve"> </w:t>
      </w:r>
      <w:r w:rsidR="00CD6248" w:rsidRPr="00C8178E">
        <w:rPr>
          <w:szCs w:val="24"/>
        </w:rPr>
        <w:t>Routine assessment of thyroid function tests (TFTs) in patients with acute coronary syndrome (ACS) is crucial for enhancing risk stratification and tailoring treatment strategies. Research indicates that thyroid dysfunction, particularly subclinical hypothyroidism, can adversely affect outcomes in ACS patients. For instance, patients with subclinical hypothyroidism exhibited insufficient endothelialization of stents, which may increase the risk of thrombotic complications, suggesting a need for closer monitoring and potential therapeutic adjustments</w:t>
      </w:r>
      <w:r w:rsidR="00CD6248" w:rsidRPr="00C8178E">
        <w:rPr>
          <w:szCs w:val="24"/>
          <w:vertAlign w:val="superscript"/>
        </w:rPr>
        <w:t>[1</w:t>
      </w:r>
      <w:r w:rsidR="00034874" w:rsidRPr="00C8178E">
        <w:rPr>
          <w:szCs w:val="24"/>
          <w:vertAlign w:val="superscript"/>
        </w:rPr>
        <w:t>1</w:t>
      </w:r>
      <w:r w:rsidR="00CD6248" w:rsidRPr="00C8178E">
        <w:rPr>
          <w:szCs w:val="24"/>
          <w:vertAlign w:val="superscript"/>
        </w:rPr>
        <w:t>]</w:t>
      </w:r>
      <w:r w:rsidR="00CD6248" w:rsidRPr="00C8178E">
        <w:rPr>
          <w:szCs w:val="24"/>
        </w:rPr>
        <w:t>. Additionally, a lower free triiodothyronine/free thyroxine (FT3/FT4) ratio has been associated with poorer prognoses in euthyroid ACS patients, indicating that thyroid hormone sensitivity may play a significant role in long-term outcomes</w:t>
      </w:r>
      <w:r w:rsidR="00CD6248" w:rsidRPr="00C8178E">
        <w:rPr>
          <w:szCs w:val="24"/>
          <w:vertAlign w:val="superscript"/>
        </w:rPr>
        <w:t>[</w:t>
      </w:r>
      <w:r w:rsidR="00034874" w:rsidRPr="00C8178E">
        <w:rPr>
          <w:szCs w:val="24"/>
          <w:vertAlign w:val="superscript"/>
        </w:rPr>
        <w:t>12</w:t>
      </w:r>
      <w:r w:rsidR="00CD6248" w:rsidRPr="00C8178E">
        <w:rPr>
          <w:szCs w:val="24"/>
          <w:vertAlign w:val="superscript"/>
        </w:rPr>
        <w:t>]</w:t>
      </w:r>
      <w:r w:rsidR="00CD6248" w:rsidRPr="00C8178E">
        <w:rPr>
          <w:szCs w:val="24"/>
        </w:rPr>
        <w:t>. Furthermore, thyroid dysfunction correlates with increased complications and longer hospital stays in ACS patients, highlighting the importance of integrating TFTs into standard diagnostic protocols</w:t>
      </w:r>
      <w:r w:rsidR="00CD6248" w:rsidRPr="00C8178E">
        <w:rPr>
          <w:szCs w:val="24"/>
          <w:vertAlign w:val="superscript"/>
        </w:rPr>
        <w:t>[4]</w:t>
      </w:r>
      <w:r w:rsidR="00CD6248" w:rsidRPr="00C8178E">
        <w:rPr>
          <w:szCs w:val="24"/>
        </w:rPr>
        <w:t>. Therefore, incorporating routine TFT assessments could facilitate more personalized and effective management of ACS patients</w:t>
      </w:r>
      <w:r w:rsidR="00CD6248" w:rsidRPr="00C8178E">
        <w:rPr>
          <w:szCs w:val="24"/>
          <w:vertAlign w:val="superscript"/>
        </w:rPr>
        <w:t>[1</w:t>
      </w:r>
      <w:r w:rsidR="00034874" w:rsidRPr="00C8178E">
        <w:rPr>
          <w:szCs w:val="24"/>
          <w:vertAlign w:val="superscript"/>
        </w:rPr>
        <w:t>1</w:t>
      </w:r>
      <w:r w:rsidR="00CD6248" w:rsidRPr="00C8178E">
        <w:rPr>
          <w:szCs w:val="24"/>
          <w:vertAlign w:val="superscript"/>
        </w:rPr>
        <w:t>][</w:t>
      </w:r>
      <w:r w:rsidR="00034874" w:rsidRPr="00C8178E">
        <w:rPr>
          <w:szCs w:val="24"/>
          <w:vertAlign w:val="superscript"/>
        </w:rPr>
        <w:t>13</w:t>
      </w:r>
      <w:r w:rsidR="00CD6248" w:rsidRPr="00C8178E">
        <w:rPr>
          <w:szCs w:val="24"/>
          <w:vertAlign w:val="superscript"/>
        </w:rPr>
        <w:t>]</w:t>
      </w:r>
      <w:r w:rsidR="00CD6248" w:rsidRPr="00C8178E">
        <w:rPr>
          <w:szCs w:val="24"/>
        </w:rPr>
        <w:t>.</w:t>
      </w:r>
    </w:p>
    <w:p w14:paraId="5A5439EA" w14:textId="77777777" w:rsidR="00635EDE" w:rsidRPr="00C8178E" w:rsidRDefault="00635EDE" w:rsidP="00C8178E">
      <w:pPr>
        <w:spacing w:before="0" w:beforeAutospacing="0" w:after="0" w:afterAutospacing="0" w:line="240" w:lineRule="auto"/>
        <w:rPr>
          <w:szCs w:val="24"/>
        </w:rPr>
      </w:pPr>
    </w:p>
    <w:p w14:paraId="068FFCB5" w14:textId="7DCBAAC5" w:rsidR="002525B5" w:rsidRDefault="002525B5" w:rsidP="00C8178E">
      <w:pPr>
        <w:spacing w:before="0" w:beforeAutospacing="0" w:after="0" w:afterAutospacing="0" w:line="240" w:lineRule="auto"/>
        <w:rPr>
          <w:szCs w:val="24"/>
        </w:rPr>
      </w:pPr>
      <w:r w:rsidRPr="00C8178E">
        <w:rPr>
          <w:b/>
          <w:bCs/>
          <w:szCs w:val="24"/>
        </w:rPr>
        <w:t>Study Limitations:</w:t>
      </w:r>
      <w:r w:rsidRPr="00C8178E">
        <w:rPr>
          <w:szCs w:val="24"/>
        </w:rPr>
        <w:t xml:space="preserve"> The cross-sectional design limits the ability to establish causality between thyroid dysfunction and ACS outcomes. The study was conducted at a single tertiary care hospital, which may limit the generalizability of the findings. Future research should involve larger, more diverse populations and longitudinal follow-up to validate these results.</w:t>
      </w:r>
    </w:p>
    <w:p w14:paraId="3DCB685C" w14:textId="77777777" w:rsidR="00635EDE" w:rsidRPr="00C8178E" w:rsidRDefault="00635EDE" w:rsidP="00C8178E">
      <w:pPr>
        <w:spacing w:before="0" w:beforeAutospacing="0" w:after="0" w:afterAutospacing="0" w:line="240" w:lineRule="auto"/>
        <w:rPr>
          <w:szCs w:val="24"/>
        </w:rPr>
      </w:pPr>
    </w:p>
    <w:p w14:paraId="5CDE509E" w14:textId="77777777" w:rsidR="002525B5" w:rsidRPr="00C8178E" w:rsidRDefault="002525B5" w:rsidP="00C8178E">
      <w:pPr>
        <w:spacing w:before="0" w:beforeAutospacing="0" w:after="0" w:afterAutospacing="0" w:line="240" w:lineRule="auto"/>
        <w:rPr>
          <w:szCs w:val="24"/>
        </w:rPr>
      </w:pPr>
      <w:r w:rsidRPr="00C8178E">
        <w:rPr>
          <w:b/>
          <w:bCs/>
          <w:szCs w:val="24"/>
        </w:rPr>
        <w:t>Future Research Directions:</w:t>
      </w:r>
      <w:r w:rsidRPr="00C8178E">
        <w:rPr>
          <w:szCs w:val="24"/>
        </w:rPr>
        <w:t xml:space="preserve"> Further studies should explore the underlying mechanisms linking thyroid dysfunction with ACS, including the role of inflammation and lipid metabolism dysregulation. Randomized controlled trials are needed to assess the efficacy of thyroid hormone modulation as a therapeutic strategy in ACS management.</w:t>
      </w:r>
    </w:p>
    <w:p w14:paraId="57C7A553" w14:textId="3F6F71DB" w:rsidR="002525B5" w:rsidRPr="00C8178E" w:rsidRDefault="002525B5" w:rsidP="00C8178E">
      <w:pPr>
        <w:spacing w:before="0" w:beforeAutospacing="0" w:after="0" w:afterAutospacing="0" w:line="240" w:lineRule="auto"/>
        <w:rPr>
          <w:szCs w:val="24"/>
        </w:rPr>
      </w:pPr>
    </w:p>
    <w:p w14:paraId="211E3885" w14:textId="77777777" w:rsidR="002525B5" w:rsidRPr="00C8178E" w:rsidRDefault="002525B5" w:rsidP="00C8178E">
      <w:pPr>
        <w:spacing w:before="0" w:beforeAutospacing="0" w:after="0" w:afterAutospacing="0" w:line="240" w:lineRule="auto"/>
        <w:rPr>
          <w:b/>
          <w:bCs/>
          <w:szCs w:val="24"/>
        </w:rPr>
      </w:pPr>
      <w:r w:rsidRPr="00C8178E">
        <w:rPr>
          <w:b/>
          <w:bCs/>
          <w:szCs w:val="24"/>
        </w:rPr>
        <w:t>Conclusion</w:t>
      </w:r>
    </w:p>
    <w:p w14:paraId="1F6B1837" w14:textId="77777777" w:rsidR="002525B5" w:rsidRPr="00C8178E" w:rsidRDefault="002525B5" w:rsidP="00C8178E">
      <w:pPr>
        <w:spacing w:before="0" w:beforeAutospacing="0" w:after="0" w:afterAutospacing="0" w:line="240" w:lineRule="auto"/>
        <w:rPr>
          <w:szCs w:val="24"/>
        </w:rPr>
      </w:pPr>
      <w:r w:rsidRPr="00C8178E">
        <w:rPr>
          <w:szCs w:val="24"/>
        </w:rPr>
        <w:t>This study highlights the prognostic value of Thyroid Function Tests in patients with Acute Coronary Syndrome. The findings demonstrate that thyroid dysfunction, particularly hypothyroidism, is associated with increased ACS severity and poorer clinical outcomes. Incorporating TFTs into routine ACS management protocols could significantly enhance risk stratification and improve patient care. Future research should focus on exploring the mechanistic links between thyroid dysfunction and cardiovascular health and developing comprehensive treatment guidelines for ACS patients with thyroid abnormalities.</w:t>
      </w:r>
    </w:p>
    <w:p w14:paraId="6A8CBDE9" w14:textId="316FAFA2" w:rsidR="002525B5" w:rsidRPr="00C8178E" w:rsidRDefault="002525B5" w:rsidP="00C8178E">
      <w:pPr>
        <w:spacing w:before="0" w:beforeAutospacing="0" w:after="0" w:afterAutospacing="0" w:line="240" w:lineRule="auto"/>
        <w:rPr>
          <w:szCs w:val="24"/>
        </w:rPr>
      </w:pPr>
    </w:p>
    <w:p w14:paraId="345E7BDF" w14:textId="77777777" w:rsidR="002525B5" w:rsidRPr="00C8178E" w:rsidRDefault="002525B5" w:rsidP="00C8178E">
      <w:pPr>
        <w:spacing w:before="0" w:beforeAutospacing="0" w:after="0" w:afterAutospacing="0" w:line="240" w:lineRule="auto"/>
        <w:rPr>
          <w:b/>
          <w:bCs/>
          <w:szCs w:val="24"/>
        </w:rPr>
      </w:pPr>
      <w:r w:rsidRPr="00C8178E">
        <w:rPr>
          <w:b/>
          <w:bCs/>
          <w:szCs w:val="24"/>
        </w:rPr>
        <w:t>References</w:t>
      </w:r>
    </w:p>
    <w:p w14:paraId="27C2E6E4" w14:textId="77777777" w:rsidR="002525B5" w:rsidRPr="00C8178E" w:rsidRDefault="002525B5" w:rsidP="00635EDE">
      <w:pPr>
        <w:numPr>
          <w:ilvl w:val="0"/>
          <w:numId w:val="7"/>
        </w:numPr>
        <w:spacing w:before="0" w:beforeAutospacing="0" w:after="0" w:afterAutospacing="0" w:line="240" w:lineRule="auto"/>
        <w:ind w:left="426" w:hanging="426"/>
        <w:rPr>
          <w:szCs w:val="24"/>
        </w:rPr>
      </w:pPr>
      <w:r w:rsidRPr="00C8178E">
        <w:rPr>
          <w:szCs w:val="24"/>
        </w:rPr>
        <w:t xml:space="preserve">Abdulaziz Qari, F. (2015). "Thyroid Hormone Profile in Patients With Acute Coronary Syndrome." </w:t>
      </w:r>
      <w:r w:rsidRPr="00C8178E">
        <w:rPr>
          <w:i/>
          <w:iCs/>
          <w:szCs w:val="24"/>
        </w:rPr>
        <w:t>Journal of Clinical Endocrinology &amp; Metabolism</w:t>
      </w:r>
      <w:r w:rsidRPr="00C8178E">
        <w:rPr>
          <w:szCs w:val="24"/>
        </w:rPr>
        <w:t>.</w:t>
      </w:r>
    </w:p>
    <w:p w14:paraId="7B207A3D" w14:textId="77777777" w:rsidR="002525B5" w:rsidRPr="00C8178E" w:rsidRDefault="002525B5" w:rsidP="00635EDE">
      <w:pPr>
        <w:numPr>
          <w:ilvl w:val="0"/>
          <w:numId w:val="7"/>
        </w:numPr>
        <w:spacing w:before="0" w:beforeAutospacing="0" w:after="0" w:afterAutospacing="0" w:line="240" w:lineRule="auto"/>
        <w:ind w:left="426" w:hanging="426"/>
        <w:rPr>
          <w:szCs w:val="24"/>
        </w:rPr>
      </w:pPr>
      <w:r w:rsidRPr="00C8178E">
        <w:rPr>
          <w:szCs w:val="24"/>
          <w:lang w:val="sv-SE"/>
        </w:rPr>
        <w:t xml:space="preserve">Yamakawa, T., S. Kato, J. Yuasa, et al. </w:t>
      </w:r>
      <w:r w:rsidRPr="00C8178E">
        <w:rPr>
          <w:szCs w:val="24"/>
        </w:rPr>
        <w:t xml:space="preserve">(2021). "Thyroid hormone plays an important role in cardiac function: from bench to bedside." </w:t>
      </w:r>
      <w:r w:rsidRPr="00C8178E">
        <w:rPr>
          <w:i/>
          <w:iCs/>
          <w:szCs w:val="24"/>
        </w:rPr>
        <w:t>Frontiers in Endocrinology</w:t>
      </w:r>
      <w:r w:rsidRPr="00C8178E">
        <w:rPr>
          <w:szCs w:val="24"/>
        </w:rPr>
        <w:t>.</w:t>
      </w:r>
    </w:p>
    <w:p w14:paraId="27FE65F4" w14:textId="77777777" w:rsidR="002525B5" w:rsidRPr="00C8178E" w:rsidRDefault="002525B5" w:rsidP="00635EDE">
      <w:pPr>
        <w:numPr>
          <w:ilvl w:val="0"/>
          <w:numId w:val="7"/>
        </w:numPr>
        <w:spacing w:before="0" w:beforeAutospacing="0" w:after="0" w:afterAutospacing="0" w:line="240" w:lineRule="auto"/>
        <w:ind w:left="426" w:hanging="426"/>
        <w:rPr>
          <w:szCs w:val="24"/>
        </w:rPr>
      </w:pPr>
      <w:r w:rsidRPr="00C8178E">
        <w:rPr>
          <w:szCs w:val="24"/>
          <w:lang w:val="sv-SE"/>
        </w:rPr>
        <w:t xml:space="preserve">Kumar, R., Sinha, R., Gunjan, G., &amp; Singh, S. K. (2024). </w:t>
      </w:r>
      <w:r w:rsidRPr="00C8178E">
        <w:rPr>
          <w:szCs w:val="24"/>
        </w:rPr>
        <w:t xml:space="preserve">"A Cross-Sectional Study of Acute Coronary Syndrome and Thyroid Profile: Dissecting the Relationship to Improve Patient Care." </w:t>
      </w:r>
      <w:r w:rsidRPr="00C8178E">
        <w:rPr>
          <w:i/>
          <w:iCs/>
          <w:szCs w:val="24"/>
        </w:rPr>
        <w:t>Journal of Clinical Medicine</w:t>
      </w:r>
      <w:r w:rsidRPr="00C8178E">
        <w:rPr>
          <w:szCs w:val="24"/>
        </w:rPr>
        <w:t>.</w:t>
      </w:r>
    </w:p>
    <w:p w14:paraId="659A1BC7" w14:textId="77777777" w:rsidR="002525B5" w:rsidRPr="00C8178E" w:rsidRDefault="002525B5" w:rsidP="00635EDE">
      <w:pPr>
        <w:numPr>
          <w:ilvl w:val="0"/>
          <w:numId w:val="7"/>
        </w:numPr>
        <w:spacing w:before="0" w:beforeAutospacing="0" w:after="0" w:afterAutospacing="0" w:line="240" w:lineRule="auto"/>
        <w:ind w:left="426" w:hanging="426"/>
        <w:rPr>
          <w:szCs w:val="24"/>
        </w:rPr>
      </w:pPr>
      <w:r w:rsidRPr="00C8178E">
        <w:rPr>
          <w:szCs w:val="24"/>
        </w:rPr>
        <w:t xml:space="preserve">Jabbar, L., Ingoe, H., Thomas, P., Carey, P., et al. (2021). "Prevalence, predictors, and outcomes of thyroid dysfunction in patients with acute myocardial infarction: the ThyrAMI-1 study." </w:t>
      </w:r>
      <w:r w:rsidRPr="00C8178E">
        <w:rPr>
          <w:i/>
          <w:iCs/>
          <w:szCs w:val="24"/>
        </w:rPr>
        <w:t>Endocrine Reviews</w:t>
      </w:r>
      <w:r w:rsidRPr="00C8178E">
        <w:rPr>
          <w:szCs w:val="24"/>
        </w:rPr>
        <w:t>.</w:t>
      </w:r>
    </w:p>
    <w:p w14:paraId="64288ED6" w14:textId="77777777" w:rsidR="002525B5" w:rsidRPr="00C8178E" w:rsidRDefault="002525B5" w:rsidP="00635EDE">
      <w:pPr>
        <w:numPr>
          <w:ilvl w:val="0"/>
          <w:numId w:val="7"/>
        </w:numPr>
        <w:spacing w:before="0" w:beforeAutospacing="0" w:after="0" w:afterAutospacing="0" w:line="240" w:lineRule="auto"/>
        <w:ind w:left="426" w:hanging="426"/>
        <w:rPr>
          <w:szCs w:val="24"/>
        </w:rPr>
      </w:pPr>
      <w:r w:rsidRPr="00C8178E">
        <w:rPr>
          <w:szCs w:val="24"/>
        </w:rPr>
        <w:t xml:space="preserve">Müller, P., Leow, M. K. S., &amp; Dietrich, J. W. (2021). "Minor perturbations of thyroid homeostasis and major cardiovascular endpoints—Physiological mechanisms and clinical evidence." </w:t>
      </w:r>
      <w:r w:rsidRPr="00C8178E">
        <w:rPr>
          <w:i/>
          <w:iCs/>
          <w:szCs w:val="24"/>
        </w:rPr>
        <w:t>Journal of the American College of Cardiology</w:t>
      </w:r>
      <w:r w:rsidRPr="00C8178E">
        <w:rPr>
          <w:szCs w:val="24"/>
        </w:rPr>
        <w:t>.</w:t>
      </w:r>
    </w:p>
    <w:p w14:paraId="53588DAD" w14:textId="4C0E7F3F" w:rsidR="00CD6248" w:rsidRPr="00C8178E" w:rsidRDefault="00CD6248" w:rsidP="00635EDE">
      <w:pPr>
        <w:numPr>
          <w:ilvl w:val="0"/>
          <w:numId w:val="7"/>
        </w:numPr>
        <w:spacing w:before="0" w:beforeAutospacing="0" w:after="0" w:afterAutospacing="0" w:line="240" w:lineRule="auto"/>
        <w:ind w:left="426" w:hanging="426"/>
        <w:rPr>
          <w:szCs w:val="24"/>
        </w:rPr>
      </w:pPr>
      <w:r w:rsidRPr="00C8178E">
        <w:rPr>
          <w:szCs w:val="24"/>
        </w:rPr>
        <w:t>Priyadarshini, Arambam., Shikhar, Gupta., Upendra, Kaul., Priya, Ranjan., Sudhir, Sekhawat., Rajiv, Janardhanan. Hypothyroidism in acute coronary syndrome – A prospective Indian study. Indian heart journal, (2024). doi: 10.1016/j.ihj.2023.12.008</w:t>
      </w:r>
    </w:p>
    <w:p w14:paraId="6CAD3263" w14:textId="21AAF0AC" w:rsidR="00CD6248" w:rsidRPr="00C8178E" w:rsidRDefault="00CD6248" w:rsidP="00635EDE">
      <w:pPr>
        <w:numPr>
          <w:ilvl w:val="0"/>
          <w:numId w:val="7"/>
        </w:numPr>
        <w:spacing w:before="0" w:beforeAutospacing="0" w:after="0" w:afterAutospacing="0" w:line="240" w:lineRule="auto"/>
        <w:ind w:left="426" w:hanging="426"/>
        <w:rPr>
          <w:szCs w:val="24"/>
        </w:rPr>
      </w:pPr>
      <w:r w:rsidRPr="00C8178E">
        <w:rPr>
          <w:szCs w:val="24"/>
        </w:rPr>
        <w:t>E., M., Nifontov., I., S., Trusov., T., T., Khachikyan., A., V., Biryukov., Alexander, S., Krasichkov., D., S., Shapovalova., I., A., Serdiukovа. The influence of thyroid status on long-term complications after stenting in patients with acute coronary syndrome without ST-segment elevation.. Translational Medicine, (2024). doi: 10.18705/2311-4495-2023-10-6-484-494</w:t>
      </w:r>
    </w:p>
    <w:p w14:paraId="638A7161" w14:textId="2DF833E9" w:rsidR="00CD6248" w:rsidRPr="00C8178E" w:rsidRDefault="00CD6248" w:rsidP="00635EDE">
      <w:pPr>
        <w:numPr>
          <w:ilvl w:val="0"/>
          <w:numId w:val="7"/>
        </w:numPr>
        <w:spacing w:before="0" w:beforeAutospacing="0" w:after="0" w:afterAutospacing="0" w:line="240" w:lineRule="auto"/>
        <w:ind w:left="426" w:hanging="426"/>
        <w:rPr>
          <w:szCs w:val="24"/>
        </w:rPr>
      </w:pPr>
      <w:r w:rsidRPr="00C8178E">
        <w:rPr>
          <w:szCs w:val="24"/>
        </w:rPr>
        <w:t>Oğuz, Akkuş., Fatih, Şen., Ramazan, Yasdıbaş., Alper, Tunga, Ötegen., İrem, Hüzmeli., Gamze, Akkuş. Is Low-free Triiodothyronine (fT3) Associated with Increased Morbidity in Patients Admitted to Coronary Care Units?. Endocrine‚ Metabolic &amp; Immune Disorders-Drug Targets, (2024). doi: 10.2174/0118715303287732240201122412</w:t>
      </w:r>
    </w:p>
    <w:p w14:paraId="703EDD96" w14:textId="2FB78FD2" w:rsidR="00CD6248" w:rsidRPr="00C8178E" w:rsidRDefault="00CD6248" w:rsidP="00635EDE">
      <w:pPr>
        <w:numPr>
          <w:ilvl w:val="0"/>
          <w:numId w:val="7"/>
        </w:numPr>
        <w:spacing w:before="0" w:beforeAutospacing="0" w:after="0" w:afterAutospacing="0" w:line="240" w:lineRule="auto"/>
        <w:ind w:left="426" w:hanging="426"/>
        <w:rPr>
          <w:szCs w:val="24"/>
        </w:rPr>
      </w:pPr>
      <w:r w:rsidRPr="00C8178E">
        <w:rPr>
          <w:szCs w:val="24"/>
        </w:rPr>
        <w:t>Bhavik, Thacker., Lalit, Shrimali., Abhishek, Padhiar. Evaluation of thyroid profile and its prognostic value in patients of acute coronary syndrome. Asian Journal of Pharmaceutical and Clinical Research, (2023). doi: 10.22159/ajpcr.2023.v16i10.47967</w:t>
      </w:r>
    </w:p>
    <w:p w14:paraId="36C585CE" w14:textId="5DD2351F" w:rsidR="00CD6248" w:rsidRPr="00C8178E" w:rsidRDefault="00CD6248" w:rsidP="00635EDE">
      <w:pPr>
        <w:numPr>
          <w:ilvl w:val="0"/>
          <w:numId w:val="7"/>
        </w:numPr>
        <w:spacing w:before="0" w:beforeAutospacing="0" w:after="0" w:afterAutospacing="0" w:line="240" w:lineRule="auto"/>
        <w:ind w:left="426" w:hanging="426"/>
        <w:rPr>
          <w:szCs w:val="24"/>
        </w:rPr>
      </w:pPr>
      <w:r w:rsidRPr="00C8178E">
        <w:rPr>
          <w:szCs w:val="24"/>
        </w:rPr>
        <w:t>Yuan, Gao., Tianwei, Zhan., Yingchun, Xu., Kaijun, Zhu., Yifei, Shi., Langping, Jin., Liwei, Meng. Causal association of TSH with ischemic heart diseases and heart failure: A 2-sample Mendelian randomization study. Medicine, (2024). doi: 10.1097/md.0000000000037539</w:t>
      </w:r>
    </w:p>
    <w:p w14:paraId="72E7CF48" w14:textId="259F4DC9" w:rsidR="00CD6248" w:rsidRPr="00C8178E" w:rsidRDefault="00CD6248" w:rsidP="00635EDE">
      <w:pPr>
        <w:numPr>
          <w:ilvl w:val="0"/>
          <w:numId w:val="7"/>
        </w:numPr>
        <w:spacing w:before="0" w:beforeAutospacing="0" w:after="0" w:afterAutospacing="0" w:line="240" w:lineRule="auto"/>
        <w:ind w:left="426" w:hanging="426"/>
        <w:rPr>
          <w:szCs w:val="24"/>
        </w:rPr>
      </w:pPr>
      <w:r w:rsidRPr="00C8178E">
        <w:rPr>
          <w:szCs w:val="24"/>
        </w:rPr>
        <w:t>E., M., Nifontov., I., S., Trusov., T., T., Khachikyan., A., V., Biryukov., Alexander, S., Krasichkov., D., S., Shapovalova., I., A., Serdiukovа. The influence of thyroid status on long-term complications after stenting in patients with acute coronary syndrome without ST-segment elevation.. Translational Medicine, (2024). doi: 10.18705/2311-4495-2023-10-6-484-494</w:t>
      </w:r>
    </w:p>
    <w:p w14:paraId="71898D7B" w14:textId="5FCE24D3" w:rsidR="00CD6248" w:rsidRPr="00C8178E" w:rsidRDefault="00CD6248" w:rsidP="00635EDE">
      <w:pPr>
        <w:numPr>
          <w:ilvl w:val="0"/>
          <w:numId w:val="7"/>
        </w:numPr>
        <w:spacing w:before="0" w:beforeAutospacing="0" w:after="0" w:afterAutospacing="0" w:line="240" w:lineRule="auto"/>
        <w:ind w:left="426" w:hanging="426"/>
        <w:rPr>
          <w:szCs w:val="24"/>
        </w:rPr>
      </w:pPr>
      <w:r w:rsidRPr="00C8178E">
        <w:rPr>
          <w:szCs w:val="24"/>
        </w:rPr>
        <w:t>Shen, Wang., Yue, Wang., Shuaifeng, Sun., Fadong, Li., Wenxin, Zhao., Xinjian, Li., Maomao, Ye., Yufei, Niu., Xiaofan, Wu. Free triiodothyronine to free thyroxine ratio as a marker of poor prognosis in euthyroid patients with acute coronary syndrome and diabetes after percutaneous coronary intervention. Frontiers in Endocrinology, (2024). doi: 10.3389/fendo.2024.1322969</w:t>
      </w:r>
    </w:p>
    <w:p w14:paraId="6C0F2548" w14:textId="417A81D2" w:rsidR="00034874" w:rsidRPr="00C8178E" w:rsidRDefault="00034874" w:rsidP="00635EDE">
      <w:pPr>
        <w:numPr>
          <w:ilvl w:val="0"/>
          <w:numId w:val="7"/>
        </w:numPr>
        <w:spacing w:before="0" w:beforeAutospacing="0" w:after="0" w:afterAutospacing="0" w:line="240" w:lineRule="auto"/>
        <w:ind w:left="426" w:hanging="426"/>
        <w:rPr>
          <w:szCs w:val="24"/>
        </w:rPr>
      </w:pPr>
      <w:r w:rsidRPr="00C8178E">
        <w:rPr>
          <w:szCs w:val="24"/>
        </w:rPr>
        <w:t>Bhavik, Thacker., Lalit, Shrimali., Abhishek, Padhiar. Evaluation of thyroid profile and its prognostic value in patients of acute coronary syndrome. Asian Journal of Pharmaceutical and Clinical Research, (2023). doi: 10.22159/ajpcr.2023.v16i10.47967</w:t>
      </w:r>
    </w:p>
    <w:p w14:paraId="1C196D61" w14:textId="77777777" w:rsidR="00F76633" w:rsidRPr="00C8178E" w:rsidRDefault="00F76633" w:rsidP="00635EDE">
      <w:pPr>
        <w:spacing w:before="0" w:beforeAutospacing="0" w:after="0" w:afterAutospacing="0" w:line="240" w:lineRule="auto"/>
        <w:ind w:left="426" w:hanging="426"/>
        <w:rPr>
          <w:szCs w:val="24"/>
        </w:rPr>
      </w:pPr>
    </w:p>
    <w:sectPr w:rsidR="00F76633" w:rsidRPr="00C8178E" w:rsidSect="00C0113A">
      <w:headerReference w:type="even" r:id="rId9"/>
      <w:headerReference w:type="default" r:id="rId10"/>
      <w:footerReference w:type="even" r:id="rId11"/>
      <w:footerReference w:type="default" r:id="rId12"/>
      <w:headerReference w:type="first" r:id="rId13"/>
      <w:footerReference w:type="first" r:id="rId14"/>
      <w:pgSz w:w="11906" w:h="16838" w:code="9"/>
      <w:pgMar w:top="1021" w:right="1066" w:bottom="964" w:left="1168" w:header="851" w:footer="777" w:gutter="0"/>
      <w:pgNumType w:start="106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6477C" w14:textId="77777777" w:rsidR="002076D5" w:rsidRDefault="002076D5" w:rsidP="00635EDE">
      <w:pPr>
        <w:spacing w:before="0" w:after="0" w:line="240" w:lineRule="auto"/>
      </w:pPr>
      <w:r>
        <w:separator/>
      </w:r>
    </w:p>
  </w:endnote>
  <w:endnote w:type="continuationSeparator" w:id="0">
    <w:p w14:paraId="03A5EDA8" w14:textId="77777777" w:rsidR="002076D5" w:rsidRDefault="002076D5" w:rsidP="00635E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61DB" w14:textId="77777777" w:rsidR="00C0113A" w:rsidRDefault="00C01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0B9A" w14:textId="35A24D8C" w:rsidR="00635EDE" w:rsidRPr="00635EDE" w:rsidRDefault="00000000" w:rsidP="00635EDE">
    <w:pPr>
      <w:pStyle w:val="Footer"/>
      <w:pBdr>
        <w:top w:val="single" w:sz="4" w:space="0" w:color="000000"/>
      </w:pBdr>
      <w:tabs>
        <w:tab w:val="clear" w:pos="9026"/>
        <w:tab w:val="left" w:pos="3705"/>
        <w:tab w:val="right" w:pos="9639"/>
      </w:tabs>
      <w:spacing w:beforeAutospacing="0" w:afterAutospacing="0"/>
      <w:ind w:right="33"/>
      <w:rPr>
        <w:color w:val="000000" w:themeColor="text1"/>
        <w:sz w:val="20"/>
      </w:rPr>
    </w:pPr>
    <w:hyperlink r:id="rId1" w:history="1">
      <w:r w:rsidR="00635EDE" w:rsidRPr="00635EDE">
        <w:rPr>
          <w:rStyle w:val="Hyperlink"/>
          <w:rFonts w:eastAsiaTheme="majorEastAsia"/>
          <w:color w:val="000000" w:themeColor="text1"/>
          <w:sz w:val="20"/>
          <w:u w:val="none"/>
          <w:shd w:val="clear" w:color="auto" w:fill="FFFFFF"/>
        </w:rPr>
        <w:t>Vol.3</w:t>
      </w:r>
      <w:r w:rsidR="00635EDE">
        <w:rPr>
          <w:rStyle w:val="Hyperlink"/>
          <w:rFonts w:eastAsiaTheme="majorEastAsia"/>
          <w:color w:val="000000" w:themeColor="text1"/>
          <w:sz w:val="20"/>
          <w:u w:val="none"/>
          <w:shd w:val="clear" w:color="auto" w:fill="FFFFFF"/>
        </w:rPr>
        <w:t>0</w:t>
      </w:r>
      <w:r w:rsidR="00635EDE" w:rsidRPr="00635EDE">
        <w:rPr>
          <w:rStyle w:val="Hyperlink"/>
          <w:rFonts w:eastAsiaTheme="majorEastAsia"/>
          <w:color w:val="000000" w:themeColor="text1"/>
          <w:sz w:val="20"/>
          <w:u w:val="none"/>
          <w:shd w:val="clear" w:color="auto" w:fill="FFFFFF"/>
        </w:rPr>
        <w:t xml:space="preserve"> No.</w:t>
      </w:r>
      <w:r w:rsidR="00635EDE">
        <w:rPr>
          <w:rStyle w:val="Hyperlink"/>
          <w:rFonts w:eastAsiaTheme="majorEastAsia"/>
          <w:color w:val="000000" w:themeColor="text1"/>
          <w:sz w:val="20"/>
          <w:u w:val="none"/>
          <w:shd w:val="clear" w:color="auto" w:fill="FFFFFF"/>
        </w:rPr>
        <w:t>3</w:t>
      </w:r>
      <w:r w:rsidR="00635EDE" w:rsidRPr="00635EDE">
        <w:rPr>
          <w:rStyle w:val="Hyperlink"/>
          <w:rFonts w:eastAsiaTheme="majorEastAsia"/>
          <w:color w:val="000000" w:themeColor="text1"/>
          <w:sz w:val="20"/>
          <w:u w:val="none"/>
          <w:shd w:val="clear" w:color="auto" w:fill="FFFFFF"/>
        </w:rPr>
        <w:t xml:space="preserve"> (202</w:t>
      </w:r>
      <w:r w:rsidR="00635EDE">
        <w:rPr>
          <w:rStyle w:val="Hyperlink"/>
          <w:rFonts w:eastAsiaTheme="majorEastAsia"/>
          <w:color w:val="000000" w:themeColor="text1"/>
          <w:sz w:val="20"/>
          <w:u w:val="none"/>
          <w:shd w:val="clear" w:color="auto" w:fill="FFFFFF"/>
        </w:rPr>
        <w:t>3</w:t>
      </w:r>
      <w:r w:rsidR="00635EDE" w:rsidRPr="00635EDE">
        <w:rPr>
          <w:rStyle w:val="Hyperlink"/>
          <w:rFonts w:eastAsiaTheme="majorEastAsia"/>
          <w:color w:val="000000" w:themeColor="text1"/>
          <w:sz w:val="20"/>
          <w:u w:val="none"/>
          <w:shd w:val="clear" w:color="auto" w:fill="FFFFFF"/>
        </w:rPr>
        <w:t>): JPTCP</w:t>
      </w:r>
    </w:hyperlink>
    <w:r w:rsidR="00635EDE" w:rsidRPr="00635EDE">
      <w:rPr>
        <w:color w:val="000000" w:themeColor="text1"/>
        <w:sz w:val="20"/>
      </w:rPr>
      <w:t xml:space="preserve"> (</w:t>
    </w:r>
    <w:r w:rsidR="00C0113A" w:rsidRPr="00C0113A">
      <w:rPr>
        <w:color w:val="000000" w:themeColor="text1"/>
        <w:sz w:val="20"/>
      </w:rPr>
      <w:t>1068-1073</w:t>
    </w:r>
    <w:r w:rsidR="00635EDE" w:rsidRPr="00635EDE">
      <w:rPr>
        <w:color w:val="000000" w:themeColor="text1"/>
        <w:sz w:val="20"/>
      </w:rPr>
      <w:t>)</w:t>
    </w:r>
    <w:r w:rsidR="00635EDE" w:rsidRPr="00635EDE">
      <w:rPr>
        <w:color w:val="000000" w:themeColor="text1"/>
        <w:sz w:val="20"/>
      </w:rPr>
      <w:tab/>
    </w:r>
    <w:r w:rsidR="00635EDE" w:rsidRPr="00635EDE">
      <w:rPr>
        <w:color w:val="000000" w:themeColor="text1"/>
        <w:sz w:val="20"/>
      </w:rPr>
      <w:tab/>
    </w:r>
    <w:r w:rsidR="00635EDE" w:rsidRPr="00635EDE">
      <w:rPr>
        <w:color w:val="000000" w:themeColor="text1"/>
        <w:sz w:val="20"/>
      </w:rPr>
      <w:tab/>
      <w:t xml:space="preserve">Page | </w:t>
    </w:r>
    <w:r w:rsidR="00635EDE" w:rsidRPr="00635EDE">
      <w:rPr>
        <w:color w:val="000000" w:themeColor="text1"/>
        <w:sz w:val="20"/>
      </w:rPr>
      <w:fldChar w:fldCharType="begin"/>
    </w:r>
    <w:r w:rsidR="00635EDE" w:rsidRPr="00635EDE">
      <w:rPr>
        <w:color w:val="000000" w:themeColor="text1"/>
        <w:sz w:val="20"/>
      </w:rPr>
      <w:instrText xml:space="preserve"> PAGE </w:instrText>
    </w:r>
    <w:r w:rsidR="00635EDE" w:rsidRPr="00635EDE">
      <w:rPr>
        <w:color w:val="000000" w:themeColor="text1"/>
        <w:sz w:val="20"/>
      </w:rPr>
      <w:fldChar w:fldCharType="separate"/>
    </w:r>
    <w:r w:rsidR="00635EDE" w:rsidRPr="00635EDE">
      <w:rPr>
        <w:color w:val="000000" w:themeColor="text1"/>
        <w:sz w:val="20"/>
      </w:rPr>
      <w:t>1750</w:t>
    </w:r>
    <w:r w:rsidR="00635EDE" w:rsidRPr="00635EDE">
      <w:rPr>
        <w:color w:val="000000" w:themeColor="text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308C" w14:textId="5DC61331" w:rsidR="00635EDE" w:rsidRPr="00635EDE" w:rsidRDefault="00000000" w:rsidP="00635EDE">
    <w:pPr>
      <w:pStyle w:val="Footer"/>
      <w:pBdr>
        <w:top w:val="single" w:sz="4" w:space="0" w:color="000000"/>
      </w:pBdr>
      <w:tabs>
        <w:tab w:val="clear" w:pos="9026"/>
        <w:tab w:val="left" w:pos="3705"/>
        <w:tab w:val="right" w:pos="9639"/>
      </w:tabs>
      <w:spacing w:beforeAutospacing="0" w:afterAutospacing="0"/>
      <w:ind w:right="33"/>
      <w:rPr>
        <w:color w:val="000000" w:themeColor="text1"/>
        <w:sz w:val="20"/>
      </w:rPr>
    </w:pPr>
    <w:hyperlink r:id="rId1" w:history="1">
      <w:r w:rsidR="00635EDE" w:rsidRPr="00635EDE">
        <w:rPr>
          <w:rStyle w:val="Hyperlink"/>
          <w:rFonts w:eastAsiaTheme="majorEastAsia"/>
          <w:color w:val="000000" w:themeColor="text1"/>
          <w:sz w:val="20"/>
          <w:u w:val="none"/>
          <w:shd w:val="clear" w:color="auto" w:fill="FFFFFF"/>
        </w:rPr>
        <w:t>Vol.3</w:t>
      </w:r>
      <w:r w:rsidR="00635EDE">
        <w:rPr>
          <w:rStyle w:val="Hyperlink"/>
          <w:rFonts w:eastAsiaTheme="majorEastAsia"/>
          <w:color w:val="000000" w:themeColor="text1"/>
          <w:sz w:val="20"/>
          <w:u w:val="none"/>
          <w:shd w:val="clear" w:color="auto" w:fill="FFFFFF"/>
        </w:rPr>
        <w:t>0</w:t>
      </w:r>
      <w:r w:rsidR="00635EDE" w:rsidRPr="00635EDE">
        <w:rPr>
          <w:rStyle w:val="Hyperlink"/>
          <w:rFonts w:eastAsiaTheme="majorEastAsia"/>
          <w:color w:val="000000" w:themeColor="text1"/>
          <w:sz w:val="20"/>
          <w:u w:val="none"/>
          <w:shd w:val="clear" w:color="auto" w:fill="FFFFFF"/>
        </w:rPr>
        <w:t xml:space="preserve"> No.</w:t>
      </w:r>
      <w:r w:rsidR="00635EDE">
        <w:rPr>
          <w:rStyle w:val="Hyperlink"/>
          <w:rFonts w:eastAsiaTheme="majorEastAsia"/>
          <w:color w:val="000000" w:themeColor="text1"/>
          <w:sz w:val="20"/>
          <w:u w:val="none"/>
          <w:shd w:val="clear" w:color="auto" w:fill="FFFFFF"/>
        </w:rPr>
        <w:t>3</w:t>
      </w:r>
      <w:r w:rsidR="00635EDE" w:rsidRPr="00635EDE">
        <w:rPr>
          <w:rStyle w:val="Hyperlink"/>
          <w:rFonts w:eastAsiaTheme="majorEastAsia"/>
          <w:color w:val="000000" w:themeColor="text1"/>
          <w:sz w:val="20"/>
          <w:u w:val="none"/>
          <w:shd w:val="clear" w:color="auto" w:fill="FFFFFF"/>
        </w:rPr>
        <w:t xml:space="preserve"> (202</w:t>
      </w:r>
      <w:r w:rsidR="00635EDE">
        <w:rPr>
          <w:rStyle w:val="Hyperlink"/>
          <w:rFonts w:eastAsiaTheme="majorEastAsia"/>
          <w:color w:val="000000" w:themeColor="text1"/>
          <w:sz w:val="20"/>
          <w:u w:val="none"/>
          <w:shd w:val="clear" w:color="auto" w:fill="FFFFFF"/>
        </w:rPr>
        <w:t>3</w:t>
      </w:r>
      <w:r w:rsidR="00635EDE" w:rsidRPr="00635EDE">
        <w:rPr>
          <w:rStyle w:val="Hyperlink"/>
          <w:rFonts w:eastAsiaTheme="majorEastAsia"/>
          <w:color w:val="000000" w:themeColor="text1"/>
          <w:sz w:val="20"/>
          <w:u w:val="none"/>
          <w:shd w:val="clear" w:color="auto" w:fill="FFFFFF"/>
        </w:rPr>
        <w:t>): JPTCP</w:t>
      </w:r>
    </w:hyperlink>
    <w:r w:rsidR="00635EDE" w:rsidRPr="00635EDE">
      <w:rPr>
        <w:color w:val="000000" w:themeColor="text1"/>
        <w:sz w:val="20"/>
      </w:rPr>
      <w:t xml:space="preserve"> (</w:t>
    </w:r>
    <w:r w:rsidR="00C0113A" w:rsidRPr="00C0113A">
      <w:rPr>
        <w:color w:val="000000" w:themeColor="text1"/>
        <w:sz w:val="20"/>
      </w:rPr>
      <w:t>1068-1073</w:t>
    </w:r>
    <w:r w:rsidR="00635EDE" w:rsidRPr="00635EDE">
      <w:rPr>
        <w:color w:val="000000" w:themeColor="text1"/>
        <w:sz w:val="20"/>
      </w:rPr>
      <w:t>)</w:t>
    </w:r>
    <w:r w:rsidR="00635EDE" w:rsidRPr="00635EDE">
      <w:rPr>
        <w:color w:val="000000" w:themeColor="text1"/>
        <w:sz w:val="20"/>
      </w:rPr>
      <w:tab/>
    </w:r>
    <w:r w:rsidR="00635EDE" w:rsidRPr="00635EDE">
      <w:rPr>
        <w:color w:val="000000" w:themeColor="text1"/>
        <w:sz w:val="20"/>
      </w:rPr>
      <w:tab/>
    </w:r>
    <w:r w:rsidR="00635EDE" w:rsidRPr="00635EDE">
      <w:rPr>
        <w:color w:val="000000" w:themeColor="text1"/>
        <w:sz w:val="20"/>
      </w:rPr>
      <w:tab/>
      <w:t xml:space="preserve">Page | </w:t>
    </w:r>
    <w:r w:rsidR="00635EDE" w:rsidRPr="00635EDE">
      <w:rPr>
        <w:color w:val="000000" w:themeColor="text1"/>
        <w:sz w:val="20"/>
      </w:rPr>
      <w:fldChar w:fldCharType="begin"/>
    </w:r>
    <w:r w:rsidR="00635EDE" w:rsidRPr="00635EDE">
      <w:rPr>
        <w:color w:val="000000" w:themeColor="text1"/>
        <w:sz w:val="20"/>
      </w:rPr>
      <w:instrText xml:space="preserve"> PAGE </w:instrText>
    </w:r>
    <w:r w:rsidR="00635EDE" w:rsidRPr="00635EDE">
      <w:rPr>
        <w:color w:val="000000" w:themeColor="text1"/>
        <w:sz w:val="20"/>
      </w:rPr>
      <w:fldChar w:fldCharType="separate"/>
    </w:r>
    <w:r w:rsidR="00635EDE">
      <w:rPr>
        <w:color w:val="000000" w:themeColor="text1"/>
        <w:sz w:val="20"/>
      </w:rPr>
      <w:t>1</w:t>
    </w:r>
    <w:r w:rsidR="00635EDE" w:rsidRPr="00635EDE">
      <w:rPr>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36126" w14:textId="77777777" w:rsidR="002076D5" w:rsidRDefault="002076D5" w:rsidP="00635EDE">
      <w:pPr>
        <w:spacing w:before="0" w:after="0" w:line="240" w:lineRule="auto"/>
      </w:pPr>
      <w:r>
        <w:separator/>
      </w:r>
    </w:p>
  </w:footnote>
  <w:footnote w:type="continuationSeparator" w:id="0">
    <w:p w14:paraId="055A8CB5" w14:textId="77777777" w:rsidR="002076D5" w:rsidRDefault="002076D5" w:rsidP="00635E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F690C" w14:textId="77777777" w:rsidR="00C0113A" w:rsidRDefault="00C01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580C8" w14:textId="05B5818B" w:rsidR="00635EDE" w:rsidRPr="00635EDE" w:rsidRDefault="00635EDE" w:rsidP="00635EDE">
    <w:pPr>
      <w:pBdr>
        <w:bottom w:val="single" w:sz="4" w:space="1" w:color="auto"/>
      </w:pBdr>
      <w:spacing w:before="0" w:beforeAutospacing="0" w:after="0" w:afterAutospacing="0" w:line="240" w:lineRule="auto"/>
      <w:jc w:val="center"/>
      <w:rPr>
        <w:sz w:val="20"/>
      </w:rPr>
    </w:pPr>
    <w:r w:rsidRPr="00635EDE">
      <w:rPr>
        <w:sz w:val="20"/>
      </w:rPr>
      <w:t>The Prognostic Value Of Thyroid Function Tests In Acute Coronary Syndrome: A Comprehensive Study In An Indian Population</w:t>
    </w:r>
  </w:p>
  <w:p w14:paraId="1BBBAED0" w14:textId="77777777" w:rsidR="00635EDE" w:rsidRPr="00635EDE" w:rsidRDefault="00635ED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36C19" w14:textId="77777777" w:rsidR="00C0113A" w:rsidRDefault="00C01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D077B"/>
    <w:multiLevelType w:val="multilevel"/>
    <w:tmpl w:val="43F2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A4817"/>
    <w:multiLevelType w:val="multilevel"/>
    <w:tmpl w:val="D300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05EFC"/>
    <w:multiLevelType w:val="multilevel"/>
    <w:tmpl w:val="7E3A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C361F"/>
    <w:multiLevelType w:val="multilevel"/>
    <w:tmpl w:val="F806C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361D32"/>
    <w:multiLevelType w:val="multilevel"/>
    <w:tmpl w:val="7BF26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10177"/>
    <w:multiLevelType w:val="multilevel"/>
    <w:tmpl w:val="B404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D69FD"/>
    <w:multiLevelType w:val="multilevel"/>
    <w:tmpl w:val="9A8C9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762111">
    <w:abstractNumId w:val="6"/>
  </w:num>
  <w:num w:numId="2" w16cid:durableId="564024736">
    <w:abstractNumId w:val="1"/>
  </w:num>
  <w:num w:numId="3" w16cid:durableId="968240538">
    <w:abstractNumId w:val="0"/>
  </w:num>
  <w:num w:numId="4" w16cid:durableId="335154594">
    <w:abstractNumId w:val="4"/>
  </w:num>
  <w:num w:numId="5" w16cid:durableId="1077480981">
    <w:abstractNumId w:val="2"/>
  </w:num>
  <w:num w:numId="6" w16cid:durableId="319697206">
    <w:abstractNumId w:val="5"/>
  </w:num>
  <w:num w:numId="7" w16cid:durableId="958612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63"/>
    <w:rsid w:val="00034874"/>
    <w:rsid w:val="0005372A"/>
    <w:rsid w:val="001B65C6"/>
    <w:rsid w:val="001E515E"/>
    <w:rsid w:val="002076D5"/>
    <w:rsid w:val="002525B5"/>
    <w:rsid w:val="00290AEE"/>
    <w:rsid w:val="00301316"/>
    <w:rsid w:val="003547FB"/>
    <w:rsid w:val="00381159"/>
    <w:rsid w:val="003A1D4B"/>
    <w:rsid w:val="003B1D73"/>
    <w:rsid w:val="004A4D34"/>
    <w:rsid w:val="00547E14"/>
    <w:rsid w:val="0055038D"/>
    <w:rsid w:val="0060046E"/>
    <w:rsid w:val="00635EDE"/>
    <w:rsid w:val="0067494C"/>
    <w:rsid w:val="006F7145"/>
    <w:rsid w:val="00740DC8"/>
    <w:rsid w:val="00852B63"/>
    <w:rsid w:val="00923F49"/>
    <w:rsid w:val="009258D5"/>
    <w:rsid w:val="00940F3E"/>
    <w:rsid w:val="009F255F"/>
    <w:rsid w:val="00B175E5"/>
    <w:rsid w:val="00B44C13"/>
    <w:rsid w:val="00C0113A"/>
    <w:rsid w:val="00C0576B"/>
    <w:rsid w:val="00C22107"/>
    <w:rsid w:val="00C573C8"/>
    <w:rsid w:val="00C57B12"/>
    <w:rsid w:val="00C8178E"/>
    <w:rsid w:val="00CD6248"/>
    <w:rsid w:val="00D038E5"/>
    <w:rsid w:val="00D213E6"/>
    <w:rsid w:val="00D24B4F"/>
    <w:rsid w:val="00EB7E03"/>
    <w:rsid w:val="00F766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4D842"/>
  <w15:chartTrackingRefBased/>
  <w15:docId w15:val="{9E46173D-4BAD-4C1B-84CF-0AAC7132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316"/>
    <w:pPr>
      <w:spacing w:before="100" w:beforeAutospacing="1" w:after="100" w:afterAutospacing="1" w:line="360" w:lineRule="auto"/>
      <w:jc w:val="both"/>
    </w:pPr>
    <w:rPr>
      <w:rFonts w:ascii="Times New Roman" w:hAnsi="Times New Roman" w:cs="Times New Roman"/>
      <w:kern w:val="0"/>
      <w:sz w:val="24"/>
      <w:szCs w:val="20"/>
      <w:lang w:eastAsia="en-IN"/>
      <w14:ligatures w14:val="none"/>
    </w:rPr>
  </w:style>
  <w:style w:type="paragraph" w:styleId="Heading1">
    <w:name w:val="heading 1"/>
    <w:basedOn w:val="Normal"/>
    <w:next w:val="Normal"/>
    <w:link w:val="Heading1Char"/>
    <w:uiPriority w:val="9"/>
    <w:qFormat/>
    <w:rsid w:val="00852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B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B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2B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2B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2B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2B6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2B6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B63"/>
    <w:rPr>
      <w:rFonts w:asciiTheme="majorHAnsi" w:eastAsiaTheme="majorEastAsia" w:hAnsiTheme="majorHAnsi" w:cstheme="majorBidi"/>
      <w:color w:val="0F4761" w:themeColor="accent1" w:themeShade="BF"/>
      <w:kern w:val="0"/>
      <w:sz w:val="40"/>
      <w:szCs w:val="40"/>
      <w:lang w:eastAsia="en-IN"/>
      <w14:ligatures w14:val="none"/>
    </w:rPr>
  </w:style>
  <w:style w:type="character" w:customStyle="1" w:styleId="Heading2Char">
    <w:name w:val="Heading 2 Char"/>
    <w:basedOn w:val="DefaultParagraphFont"/>
    <w:link w:val="Heading2"/>
    <w:uiPriority w:val="9"/>
    <w:semiHidden/>
    <w:rsid w:val="00852B63"/>
    <w:rPr>
      <w:rFonts w:asciiTheme="majorHAnsi" w:eastAsiaTheme="majorEastAsia" w:hAnsiTheme="majorHAnsi" w:cstheme="majorBidi"/>
      <w:color w:val="0F4761" w:themeColor="accent1" w:themeShade="BF"/>
      <w:kern w:val="0"/>
      <w:sz w:val="32"/>
      <w:szCs w:val="32"/>
      <w:lang w:eastAsia="en-IN"/>
      <w14:ligatures w14:val="none"/>
    </w:rPr>
  </w:style>
  <w:style w:type="character" w:customStyle="1" w:styleId="Heading3Char">
    <w:name w:val="Heading 3 Char"/>
    <w:basedOn w:val="DefaultParagraphFont"/>
    <w:link w:val="Heading3"/>
    <w:uiPriority w:val="9"/>
    <w:semiHidden/>
    <w:rsid w:val="00852B63"/>
    <w:rPr>
      <w:rFonts w:eastAsiaTheme="majorEastAsia" w:cstheme="majorBidi"/>
      <w:color w:val="0F4761" w:themeColor="accent1" w:themeShade="BF"/>
      <w:kern w:val="0"/>
      <w:sz w:val="28"/>
      <w:szCs w:val="28"/>
      <w:lang w:eastAsia="en-IN"/>
      <w14:ligatures w14:val="none"/>
    </w:rPr>
  </w:style>
  <w:style w:type="character" w:customStyle="1" w:styleId="Heading4Char">
    <w:name w:val="Heading 4 Char"/>
    <w:basedOn w:val="DefaultParagraphFont"/>
    <w:link w:val="Heading4"/>
    <w:uiPriority w:val="9"/>
    <w:semiHidden/>
    <w:rsid w:val="00852B63"/>
    <w:rPr>
      <w:rFonts w:eastAsiaTheme="majorEastAsia" w:cstheme="majorBidi"/>
      <w:i/>
      <w:iCs/>
      <w:color w:val="0F4761" w:themeColor="accent1" w:themeShade="BF"/>
      <w:kern w:val="0"/>
      <w:sz w:val="24"/>
      <w:szCs w:val="20"/>
      <w:lang w:eastAsia="en-IN"/>
      <w14:ligatures w14:val="none"/>
    </w:rPr>
  </w:style>
  <w:style w:type="character" w:customStyle="1" w:styleId="Heading5Char">
    <w:name w:val="Heading 5 Char"/>
    <w:basedOn w:val="DefaultParagraphFont"/>
    <w:link w:val="Heading5"/>
    <w:uiPriority w:val="9"/>
    <w:semiHidden/>
    <w:rsid w:val="00852B63"/>
    <w:rPr>
      <w:rFonts w:eastAsiaTheme="majorEastAsia" w:cstheme="majorBidi"/>
      <w:color w:val="0F4761" w:themeColor="accent1" w:themeShade="BF"/>
      <w:kern w:val="0"/>
      <w:sz w:val="24"/>
      <w:szCs w:val="20"/>
      <w:lang w:eastAsia="en-IN"/>
      <w14:ligatures w14:val="none"/>
    </w:rPr>
  </w:style>
  <w:style w:type="character" w:customStyle="1" w:styleId="Heading6Char">
    <w:name w:val="Heading 6 Char"/>
    <w:basedOn w:val="DefaultParagraphFont"/>
    <w:link w:val="Heading6"/>
    <w:uiPriority w:val="9"/>
    <w:semiHidden/>
    <w:rsid w:val="00852B63"/>
    <w:rPr>
      <w:rFonts w:eastAsiaTheme="majorEastAsia" w:cstheme="majorBidi"/>
      <w:i/>
      <w:iCs/>
      <w:color w:val="595959" w:themeColor="text1" w:themeTint="A6"/>
      <w:kern w:val="0"/>
      <w:sz w:val="24"/>
      <w:szCs w:val="20"/>
      <w:lang w:eastAsia="en-IN"/>
      <w14:ligatures w14:val="none"/>
    </w:rPr>
  </w:style>
  <w:style w:type="character" w:customStyle="1" w:styleId="Heading7Char">
    <w:name w:val="Heading 7 Char"/>
    <w:basedOn w:val="DefaultParagraphFont"/>
    <w:link w:val="Heading7"/>
    <w:uiPriority w:val="9"/>
    <w:semiHidden/>
    <w:rsid w:val="00852B63"/>
    <w:rPr>
      <w:rFonts w:eastAsiaTheme="majorEastAsia" w:cstheme="majorBidi"/>
      <w:color w:val="595959" w:themeColor="text1" w:themeTint="A6"/>
      <w:kern w:val="0"/>
      <w:sz w:val="24"/>
      <w:szCs w:val="20"/>
      <w:lang w:eastAsia="en-IN"/>
      <w14:ligatures w14:val="none"/>
    </w:rPr>
  </w:style>
  <w:style w:type="character" w:customStyle="1" w:styleId="Heading8Char">
    <w:name w:val="Heading 8 Char"/>
    <w:basedOn w:val="DefaultParagraphFont"/>
    <w:link w:val="Heading8"/>
    <w:uiPriority w:val="9"/>
    <w:semiHidden/>
    <w:rsid w:val="00852B63"/>
    <w:rPr>
      <w:rFonts w:eastAsiaTheme="majorEastAsia" w:cstheme="majorBidi"/>
      <w:i/>
      <w:iCs/>
      <w:color w:val="272727" w:themeColor="text1" w:themeTint="D8"/>
      <w:kern w:val="0"/>
      <w:sz w:val="24"/>
      <w:szCs w:val="20"/>
      <w:lang w:eastAsia="en-IN"/>
      <w14:ligatures w14:val="none"/>
    </w:rPr>
  </w:style>
  <w:style w:type="character" w:customStyle="1" w:styleId="Heading9Char">
    <w:name w:val="Heading 9 Char"/>
    <w:basedOn w:val="DefaultParagraphFont"/>
    <w:link w:val="Heading9"/>
    <w:uiPriority w:val="9"/>
    <w:semiHidden/>
    <w:rsid w:val="00852B63"/>
    <w:rPr>
      <w:rFonts w:eastAsiaTheme="majorEastAsia" w:cstheme="majorBidi"/>
      <w:color w:val="272727" w:themeColor="text1" w:themeTint="D8"/>
      <w:kern w:val="0"/>
      <w:sz w:val="24"/>
      <w:szCs w:val="20"/>
      <w:lang w:eastAsia="en-IN"/>
      <w14:ligatures w14:val="none"/>
    </w:rPr>
  </w:style>
  <w:style w:type="paragraph" w:styleId="Title">
    <w:name w:val="Title"/>
    <w:basedOn w:val="Normal"/>
    <w:next w:val="Normal"/>
    <w:link w:val="TitleChar"/>
    <w:uiPriority w:val="10"/>
    <w:qFormat/>
    <w:rsid w:val="00852B6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B63"/>
    <w:rPr>
      <w:rFonts w:asciiTheme="majorHAnsi" w:eastAsiaTheme="majorEastAsia" w:hAnsiTheme="majorHAnsi" w:cstheme="majorBidi"/>
      <w:spacing w:val="-10"/>
      <w:kern w:val="28"/>
      <w:sz w:val="56"/>
      <w:szCs w:val="56"/>
      <w:lang w:eastAsia="en-IN"/>
      <w14:ligatures w14:val="none"/>
    </w:rPr>
  </w:style>
  <w:style w:type="paragraph" w:styleId="Subtitle">
    <w:name w:val="Subtitle"/>
    <w:basedOn w:val="Normal"/>
    <w:next w:val="Normal"/>
    <w:link w:val="SubtitleChar"/>
    <w:uiPriority w:val="11"/>
    <w:qFormat/>
    <w:rsid w:val="00852B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B63"/>
    <w:rPr>
      <w:rFonts w:eastAsiaTheme="majorEastAsia" w:cstheme="majorBidi"/>
      <w:color w:val="595959" w:themeColor="text1" w:themeTint="A6"/>
      <w:spacing w:val="15"/>
      <w:kern w:val="0"/>
      <w:sz w:val="28"/>
      <w:szCs w:val="28"/>
      <w:lang w:eastAsia="en-IN"/>
      <w14:ligatures w14:val="none"/>
    </w:rPr>
  </w:style>
  <w:style w:type="paragraph" w:styleId="Quote">
    <w:name w:val="Quote"/>
    <w:basedOn w:val="Normal"/>
    <w:next w:val="Normal"/>
    <w:link w:val="QuoteChar"/>
    <w:uiPriority w:val="29"/>
    <w:qFormat/>
    <w:rsid w:val="00852B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2B63"/>
    <w:rPr>
      <w:rFonts w:ascii="Times New Roman" w:hAnsi="Times New Roman" w:cs="Times New Roman"/>
      <w:i/>
      <w:iCs/>
      <w:color w:val="404040" w:themeColor="text1" w:themeTint="BF"/>
      <w:kern w:val="0"/>
      <w:sz w:val="24"/>
      <w:szCs w:val="20"/>
      <w:lang w:eastAsia="en-IN"/>
      <w14:ligatures w14:val="none"/>
    </w:rPr>
  </w:style>
  <w:style w:type="paragraph" w:styleId="ListParagraph">
    <w:name w:val="List Paragraph"/>
    <w:basedOn w:val="Normal"/>
    <w:uiPriority w:val="34"/>
    <w:qFormat/>
    <w:rsid w:val="00852B63"/>
    <w:pPr>
      <w:ind w:left="720"/>
      <w:contextualSpacing/>
    </w:pPr>
  </w:style>
  <w:style w:type="character" w:styleId="IntenseEmphasis">
    <w:name w:val="Intense Emphasis"/>
    <w:basedOn w:val="DefaultParagraphFont"/>
    <w:uiPriority w:val="21"/>
    <w:qFormat/>
    <w:rsid w:val="00852B63"/>
    <w:rPr>
      <w:i/>
      <w:iCs/>
      <w:color w:val="0F4761" w:themeColor="accent1" w:themeShade="BF"/>
    </w:rPr>
  </w:style>
  <w:style w:type="paragraph" w:styleId="IntenseQuote">
    <w:name w:val="Intense Quote"/>
    <w:basedOn w:val="Normal"/>
    <w:next w:val="Normal"/>
    <w:link w:val="IntenseQuoteChar"/>
    <w:uiPriority w:val="30"/>
    <w:qFormat/>
    <w:rsid w:val="00852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B63"/>
    <w:rPr>
      <w:rFonts w:ascii="Times New Roman" w:hAnsi="Times New Roman" w:cs="Times New Roman"/>
      <w:i/>
      <w:iCs/>
      <w:color w:val="0F4761" w:themeColor="accent1" w:themeShade="BF"/>
      <w:kern w:val="0"/>
      <w:sz w:val="24"/>
      <w:szCs w:val="20"/>
      <w:lang w:eastAsia="en-IN"/>
      <w14:ligatures w14:val="none"/>
    </w:rPr>
  </w:style>
  <w:style w:type="character" w:styleId="IntenseReference">
    <w:name w:val="Intense Reference"/>
    <w:basedOn w:val="DefaultParagraphFont"/>
    <w:uiPriority w:val="32"/>
    <w:qFormat/>
    <w:rsid w:val="00852B63"/>
    <w:rPr>
      <w:b/>
      <w:bCs/>
      <w:smallCaps/>
      <w:color w:val="0F4761" w:themeColor="accent1" w:themeShade="BF"/>
      <w:spacing w:val="5"/>
    </w:rPr>
  </w:style>
  <w:style w:type="table" w:styleId="TableGrid">
    <w:name w:val="Table Grid"/>
    <w:basedOn w:val="TableNormal"/>
    <w:uiPriority w:val="39"/>
    <w:rsid w:val="00D2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24B4F"/>
    <w:pPr>
      <w:spacing w:before="0" w:after="200" w:line="240" w:lineRule="auto"/>
    </w:pPr>
    <w:rPr>
      <w:i/>
      <w:iCs/>
      <w:color w:val="0E2841" w:themeColor="text2"/>
      <w:sz w:val="18"/>
      <w:szCs w:val="18"/>
    </w:rPr>
  </w:style>
  <w:style w:type="paragraph" w:styleId="NormalWeb">
    <w:name w:val="Normal (Web)"/>
    <w:basedOn w:val="Normal"/>
    <w:uiPriority w:val="99"/>
    <w:semiHidden/>
    <w:unhideWhenUsed/>
    <w:rsid w:val="001E515E"/>
    <w:rPr>
      <w:szCs w:val="24"/>
    </w:rPr>
  </w:style>
  <w:style w:type="paragraph" w:styleId="Header">
    <w:name w:val="header"/>
    <w:basedOn w:val="Normal"/>
    <w:link w:val="HeaderChar"/>
    <w:uiPriority w:val="99"/>
    <w:unhideWhenUsed/>
    <w:rsid w:val="00C8178E"/>
    <w:pPr>
      <w:tabs>
        <w:tab w:val="center" w:pos="4513"/>
        <w:tab w:val="right" w:pos="9026"/>
      </w:tabs>
      <w:spacing w:before="0" w:beforeAutospacing="0" w:after="0" w:afterAutospacing="0" w:line="240" w:lineRule="auto"/>
      <w:jc w:val="left"/>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C8178E"/>
    <w:rPr>
      <w:rFonts w:eastAsiaTheme="minorHAnsi"/>
      <w:kern w:val="0"/>
      <w:lang w:val="en-US"/>
      <w14:ligatures w14:val="none"/>
    </w:rPr>
  </w:style>
  <w:style w:type="paragraph" w:styleId="Footer">
    <w:name w:val="footer"/>
    <w:basedOn w:val="Normal"/>
    <w:link w:val="FooterChar"/>
    <w:uiPriority w:val="99"/>
    <w:unhideWhenUsed/>
    <w:rsid w:val="00635ED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35EDE"/>
    <w:rPr>
      <w:rFonts w:ascii="Times New Roman" w:hAnsi="Times New Roman" w:cs="Times New Roman"/>
      <w:kern w:val="0"/>
      <w:sz w:val="24"/>
      <w:szCs w:val="20"/>
      <w:lang w:eastAsia="en-IN"/>
      <w14:ligatures w14:val="none"/>
    </w:rPr>
  </w:style>
  <w:style w:type="character" w:styleId="Hyperlink">
    <w:name w:val="Hyperlink"/>
    <w:basedOn w:val="DefaultParagraphFont"/>
    <w:uiPriority w:val="99"/>
    <w:unhideWhenUsed/>
    <w:rsid w:val="00635E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0032">
      <w:bodyDiv w:val="1"/>
      <w:marLeft w:val="0"/>
      <w:marRight w:val="0"/>
      <w:marTop w:val="0"/>
      <w:marBottom w:val="0"/>
      <w:divBdr>
        <w:top w:val="none" w:sz="0" w:space="0" w:color="auto"/>
        <w:left w:val="none" w:sz="0" w:space="0" w:color="auto"/>
        <w:bottom w:val="none" w:sz="0" w:space="0" w:color="auto"/>
        <w:right w:val="none" w:sz="0" w:space="0" w:color="auto"/>
      </w:divBdr>
    </w:div>
    <w:div w:id="55250698">
      <w:bodyDiv w:val="1"/>
      <w:marLeft w:val="0"/>
      <w:marRight w:val="0"/>
      <w:marTop w:val="0"/>
      <w:marBottom w:val="0"/>
      <w:divBdr>
        <w:top w:val="none" w:sz="0" w:space="0" w:color="auto"/>
        <w:left w:val="none" w:sz="0" w:space="0" w:color="auto"/>
        <w:bottom w:val="none" w:sz="0" w:space="0" w:color="auto"/>
        <w:right w:val="none" w:sz="0" w:space="0" w:color="auto"/>
      </w:divBdr>
    </w:div>
    <w:div w:id="280573503">
      <w:bodyDiv w:val="1"/>
      <w:marLeft w:val="0"/>
      <w:marRight w:val="0"/>
      <w:marTop w:val="0"/>
      <w:marBottom w:val="0"/>
      <w:divBdr>
        <w:top w:val="none" w:sz="0" w:space="0" w:color="auto"/>
        <w:left w:val="none" w:sz="0" w:space="0" w:color="auto"/>
        <w:bottom w:val="none" w:sz="0" w:space="0" w:color="auto"/>
        <w:right w:val="none" w:sz="0" w:space="0" w:color="auto"/>
      </w:divBdr>
    </w:div>
    <w:div w:id="372581938">
      <w:bodyDiv w:val="1"/>
      <w:marLeft w:val="0"/>
      <w:marRight w:val="0"/>
      <w:marTop w:val="0"/>
      <w:marBottom w:val="0"/>
      <w:divBdr>
        <w:top w:val="none" w:sz="0" w:space="0" w:color="auto"/>
        <w:left w:val="none" w:sz="0" w:space="0" w:color="auto"/>
        <w:bottom w:val="none" w:sz="0" w:space="0" w:color="auto"/>
        <w:right w:val="none" w:sz="0" w:space="0" w:color="auto"/>
      </w:divBdr>
    </w:div>
    <w:div w:id="450130769">
      <w:bodyDiv w:val="1"/>
      <w:marLeft w:val="0"/>
      <w:marRight w:val="0"/>
      <w:marTop w:val="0"/>
      <w:marBottom w:val="0"/>
      <w:divBdr>
        <w:top w:val="none" w:sz="0" w:space="0" w:color="auto"/>
        <w:left w:val="none" w:sz="0" w:space="0" w:color="auto"/>
        <w:bottom w:val="none" w:sz="0" w:space="0" w:color="auto"/>
        <w:right w:val="none" w:sz="0" w:space="0" w:color="auto"/>
      </w:divBdr>
    </w:div>
    <w:div w:id="519783319">
      <w:bodyDiv w:val="1"/>
      <w:marLeft w:val="0"/>
      <w:marRight w:val="0"/>
      <w:marTop w:val="0"/>
      <w:marBottom w:val="0"/>
      <w:divBdr>
        <w:top w:val="none" w:sz="0" w:space="0" w:color="auto"/>
        <w:left w:val="none" w:sz="0" w:space="0" w:color="auto"/>
        <w:bottom w:val="none" w:sz="0" w:space="0" w:color="auto"/>
        <w:right w:val="none" w:sz="0" w:space="0" w:color="auto"/>
      </w:divBdr>
    </w:div>
    <w:div w:id="552162242">
      <w:bodyDiv w:val="1"/>
      <w:marLeft w:val="0"/>
      <w:marRight w:val="0"/>
      <w:marTop w:val="0"/>
      <w:marBottom w:val="0"/>
      <w:divBdr>
        <w:top w:val="none" w:sz="0" w:space="0" w:color="auto"/>
        <w:left w:val="none" w:sz="0" w:space="0" w:color="auto"/>
        <w:bottom w:val="none" w:sz="0" w:space="0" w:color="auto"/>
        <w:right w:val="none" w:sz="0" w:space="0" w:color="auto"/>
      </w:divBdr>
    </w:div>
    <w:div w:id="923563021">
      <w:bodyDiv w:val="1"/>
      <w:marLeft w:val="0"/>
      <w:marRight w:val="0"/>
      <w:marTop w:val="0"/>
      <w:marBottom w:val="0"/>
      <w:divBdr>
        <w:top w:val="none" w:sz="0" w:space="0" w:color="auto"/>
        <w:left w:val="none" w:sz="0" w:space="0" w:color="auto"/>
        <w:bottom w:val="none" w:sz="0" w:space="0" w:color="auto"/>
        <w:right w:val="none" w:sz="0" w:space="0" w:color="auto"/>
      </w:divBdr>
      <w:divsChild>
        <w:div w:id="1932734595">
          <w:marLeft w:val="0"/>
          <w:marRight w:val="0"/>
          <w:marTop w:val="0"/>
          <w:marBottom w:val="0"/>
          <w:divBdr>
            <w:top w:val="none" w:sz="0" w:space="0" w:color="auto"/>
            <w:left w:val="none" w:sz="0" w:space="0" w:color="auto"/>
            <w:bottom w:val="none" w:sz="0" w:space="0" w:color="auto"/>
            <w:right w:val="none" w:sz="0" w:space="0" w:color="auto"/>
          </w:divBdr>
          <w:divsChild>
            <w:div w:id="598757785">
              <w:marLeft w:val="0"/>
              <w:marRight w:val="0"/>
              <w:marTop w:val="0"/>
              <w:marBottom w:val="0"/>
              <w:divBdr>
                <w:top w:val="none" w:sz="0" w:space="0" w:color="auto"/>
                <w:left w:val="none" w:sz="0" w:space="0" w:color="auto"/>
                <w:bottom w:val="none" w:sz="0" w:space="0" w:color="auto"/>
                <w:right w:val="none" w:sz="0" w:space="0" w:color="auto"/>
              </w:divBdr>
              <w:divsChild>
                <w:div w:id="926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3100">
      <w:bodyDiv w:val="1"/>
      <w:marLeft w:val="0"/>
      <w:marRight w:val="0"/>
      <w:marTop w:val="0"/>
      <w:marBottom w:val="0"/>
      <w:divBdr>
        <w:top w:val="none" w:sz="0" w:space="0" w:color="auto"/>
        <w:left w:val="none" w:sz="0" w:space="0" w:color="auto"/>
        <w:bottom w:val="none" w:sz="0" w:space="0" w:color="auto"/>
        <w:right w:val="none" w:sz="0" w:space="0" w:color="auto"/>
      </w:divBdr>
    </w:div>
    <w:div w:id="1126125997">
      <w:bodyDiv w:val="1"/>
      <w:marLeft w:val="0"/>
      <w:marRight w:val="0"/>
      <w:marTop w:val="0"/>
      <w:marBottom w:val="0"/>
      <w:divBdr>
        <w:top w:val="none" w:sz="0" w:space="0" w:color="auto"/>
        <w:left w:val="none" w:sz="0" w:space="0" w:color="auto"/>
        <w:bottom w:val="none" w:sz="0" w:space="0" w:color="auto"/>
        <w:right w:val="none" w:sz="0" w:space="0" w:color="auto"/>
      </w:divBdr>
    </w:div>
    <w:div w:id="1155145945">
      <w:bodyDiv w:val="1"/>
      <w:marLeft w:val="0"/>
      <w:marRight w:val="0"/>
      <w:marTop w:val="0"/>
      <w:marBottom w:val="0"/>
      <w:divBdr>
        <w:top w:val="none" w:sz="0" w:space="0" w:color="auto"/>
        <w:left w:val="none" w:sz="0" w:space="0" w:color="auto"/>
        <w:bottom w:val="none" w:sz="0" w:space="0" w:color="auto"/>
        <w:right w:val="none" w:sz="0" w:space="0" w:color="auto"/>
      </w:divBdr>
      <w:divsChild>
        <w:div w:id="110830483">
          <w:marLeft w:val="0"/>
          <w:marRight w:val="0"/>
          <w:marTop w:val="0"/>
          <w:marBottom w:val="0"/>
          <w:divBdr>
            <w:top w:val="none" w:sz="0" w:space="0" w:color="auto"/>
            <w:left w:val="none" w:sz="0" w:space="0" w:color="auto"/>
            <w:bottom w:val="none" w:sz="0" w:space="0" w:color="auto"/>
            <w:right w:val="none" w:sz="0" w:space="0" w:color="auto"/>
          </w:divBdr>
          <w:divsChild>
            <w:div w:id="1644189545">
              <w:marLeft w:val="0"/>
              <w:marRight w:val="0"/>
              <w:marTop w:val="0"/>
              <w:marBottom w:val="0"/>
              <w:divBdr>
                <w:top w:val="none" w:sz="0" w:space="0" w:color="auto"/>
                <w:left w:val="none" w:sz="0" w:space="0" w:color="auto"/>
                <w:bottom w:val="none" w:sz="0" w:space="0" w:color="auto"/>
                <w:right w:val="none" w:sz="0" w:space="0" w:color="auto"/>
              </w:divBdr>
              <w:divsChild>
                <w:div w:id="461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0046">
      <w:bodyDiv w:val="1"/>
      <w:marLeft w:val="0"/>
      <w:marRight w:val="0"/>
      <w:marTop w:val="0"/>
      <w:marBottom w:val="0"/>
      <w:divBdr>
        <w:top w:val="none" w:sz="0" w:space="0" w:color="auto"/>
        <w:left w:val="none" w:sz="0" w:space="0" w:color="auto"/>
        <w:bottom w:val="none" w:sz="0" w:space="0" w:color="auto"/>
        <w:right w:val="none" w:sz="0" w:space="0" w:color="auto"/>
      </w:divBdr>
    </w:div>
    <w:div w:id="1867401104">
      <w:bodyDiv w:val="1"/>
      <w:marLeft w:val="0"/>
      <w:marRight w:val="0"/>
      <w:marTop w:val="0"/>
      <w:marBottom w:val="0"/>
      <w:divBdr>
        <w:top w:val="none" w:sz="0" w:space="0" w:color="auto"/>
        <w:left w:val="none" w:sz="0" w:space="0" w:color="auto"/>
        <w:bottom w:val="none" w:sz="0" w:space="0" w:color="auto"/>
        <w:right w:val="none" w:sz="0" w:space="0" w:color="auto"/>
      </w:divBdr>
    </w:div>
    <w:div w:id="2048219207">
      <w:bodyDiv w:val="1"/>
      <w:marLeft w:val="0"/>
      <w:marRight w:val="0"/>
      <w:marTop w:val="0"/>
      <w:marBottom w:val="0"/>
      <w:divBdr>
        <w:top w:val="none" w:sz="0" w:space="0" w:color="auto"/>
        <w:left w:val="none" w:sz="0" w:space="0" w:color="auto"/>
        <w:bottom w:val="none" w:sz="0" w:space="0" w:color="auto"/>
        <w:right w:val="none" w:sz="0" w:space="0" w:color="auto"/>
      </w:divBdr>
    </w:div>
    <w:div w:id="21450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Ishaan Panda</dc:creator>
  <cp:keywords/>
  <dc:description/>
  <cp:lastModifiedBy>Pratiksha Dahare</cp:lastModifiedBy>
  <cp:revision>11</cp:revision>
  <cp:lastPrinted>2024-09-09T05:56:00Z</cp:lastPrinted>
  <dcterms:created xsi:type="dcterms:W3CDTF">2024-08-15T16:35:00Z</dcterms:created>
  <dcterms:modified xsi:type="dcterms:W3CDTF">2024-09-09T06:00:00Z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8f572368966f66b2bb83f285a20e0937617b677037d0c14d9987442d6bb2bbcd</vt:lpwstr>
  </property>
</Properties>
</file>